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360"/>
        <w:gridCol w:w="720"/>
        <w:gridCol w:w="540"/>
        <w:gridCol w:w="5230"/>
        <w:gridCol w:w="350"/>
        <w:gridCol w:w="5220"/>
        <w:gridCol w:w="864"/>
      </w:tblGrid>
      <w:tr w:rsidR="00BD3F51" w:rsidRPr="00F07020">
        <w:trPr>
          <w:trHeight w:val="203"/>
        </w:trPr>
        <w:tc>
          <w:tcPr>
            <w:tcW w:w="2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72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4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ANNEXE A</w:t>
            </w:r>
            <w:r w:rsidR="00C56962" w:rsidRPr="00F07020">
              <w:rPr>
                <w:b/>
                <w:lang w:val="fr-CH"/>
              </w:rPr>
              <w:t>1</w:t>
            </w:r>
          </w:p>
        </w:tc>
        <w:tc>
          <w:tcPr>
            <w:tcW w:w="350" w:type="dxa"/>
          </w:tcPr>
          <w:p w:rsidR="00BD3F51" w:rsidRPr="00F07020" w:rsidRDefault="00BD3F51" w:rsidP="00BD3F51">
            <w:pPr>
              <w:rPr>
                <w:lang w:val="fr-CH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D3F51" w:rsidRPr="00F07020" w:rsidRDefault="007B6D8C" w:rsidP="005A4358">
            <w:pPr>
              <w:pStyle w:val="Standard9"/>
              <w:jc w:val="right"/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 xml:space="preserve">Etat: </w:t>
            </w:r>
            <w:r w:rsidR="0011065D" w:rsidRPr="00F07020">
              <w:rPr>
                <w:b/>
                <w:lang w:val="fr-CH"/>
              </w:rPr>
              <w:t>1</w:t>
            </w:r>
            <w:r w:rsidR="0011065D" w:rsidRPr="00F07020">
              <w:rPr>
                <w:b/>
                <w:vertAlign w:val="superscript"/>
                <w:lang w:val="fr-CH"/>
              </w:rPr>
              <w:t>er</w:t>
            </w:r>
            <w:r w:rsidR="0011065D" w:rsidRPr="00F07020">
              <w:rPr>
                <w:b/>
                <w:lang w:val="fr-CH"/>
              </w:rPr>
              <w:t xml:space="preserve"> avril </w:t>
            </w:r>
            <w:r w:rsidR="00393ADB" w:rsidRPr="00F07020">
              <w:rPr>
                <w:b/>
                <w:lang w:val="fr-CH"/>
              </w:rPr>
              <w:t>201</w:t>
            </w:r>
            <w:r w:rsidR="0011065D" w:rsidRPr="00F07020">
              <w:rPr>
                <w:b/>
                <w:lang w:val="fr-CH"/>
              </w:rPr>
              <w:t>7</w:t>
            </w:r>
            <w:r w:rsidR="00C56962" w:rsidRPr="00F07020">
              <w:rPr>
                <w:b/>
                <w:lang w:val="fr-CH"/>
              </w:rPr>
              <w:t xml:space="preserve"> </w:t>
            </w:r>
          </w:p>
          <w:p w:rsidR="005A4358" w:rsidRPr="00F07020" w:rsidRDefault="005A4358" w:rsidP="005A4358">
            <w:pPr>
              <w:pStyle w:val="Standard9"/>
              <w:jc w:val="right"/>
              <w:rPr>
                <w:lang w:val="fr-CH"/>
              </w:rPr>
            </w:pPr>
          </w:p>
          <w:p w:rsidR="005A4358" w:rsidRPr="00F07020" w:rsidRDefault="005A4358" w:rsidP="005A4358">
            <w:pPr>
              <w:pStyle w:val="Standard9"/>
              <w:jc w:val="right"/>
              <w:rPr>
                <w:lang w:val="fr-CH"/>
              </w:rPr>
            </w:pPr>
          </w:p>
          <w:p w:rsidR="005A4358" w:rsidRPr="00F07020" w:rsidRDefault="005A4358" w:rsidP="005A4358">
            <w:pPr>
              <w:pStyle w:val="Standard9"/>
              <w:jc w:val="right"/>
              <w:rPr>
                <w:lang w:val="fr-CH"/>
              </w:rPr>
            </w:pPr>
          </w:p>
        </w:tc>
        <w:tc>
          <w:tcPr>
            <w:tcW w:w="864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</w:tr>
      <w:tr w:rsidR="00BD3F51" w:rsidRPr="00F07020">
        <w:trPr>
          <w:trHeight w:val="203"/>
        </w:trPr>
        <w:tc>
          <w:tcPr>
            <w:tcW w:w="2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36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72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4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350" w:type="dxa"/>
            <w:tcBorders>
              <w:right w:val="single" w:sz="4" w:space="0" w:color="auto"/>
            </w:tcBorders>
          </w:tcPr>
          <w:p w:rsidR="00BD3F51" w:rsidRPr="00F07020" w:rsidRDefault="00BD3F51" w:rsidP="00BD3F51">
            <w:pPr>
              <w:rPr>
                <w:lang w:val="fr-CH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:rsidR="00BD3F51" w:rsidRPr="00F07020" w:rsidRDefault="00BD3F51" w:rsidP="00BD3F51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>Les définitions et les m</w:t>
            </w:r>
            <w:r w:rsidR="00C56962" w:rsidRPr="00F07020">
              <w:rPr>
                <w:szCs w:val="18"/>
                <w:lang w:val="fr-CH"/>
              </w:rPr>
              <w:t xml:space="preserve">éthodes de mesure </w:t>
            </w:r>
            <w:r w:rsidR="004346DD" w:rsidRPr="00F07020">
              <w:rPr>
                <w:szCs w:val="18"/>
                <w:lang w:val="fr-CH"/>
              </w:rPr>
              <w:t xml:space="preserve">figurent </w:t>
            </w:r>
            <w:r w:rsidR="00DF0338" w:rsidRPr="00F07020">
              <w:rPr>
                <w:szCs w:val="18"/>
                <w:lang w:val="fr-CH"/>
              </w:rPr>
              <w:t xml:space="preserve">dans </w:t>
            </w:r>
            <w:r w:rsidR="00C56962" w:rsidRPr="00F07020">
              <w:rPr>
                <w:szCs w:val="18"/>
                <w:lang w:val="fr-CH"/>
              </w:rPr>
              <w:t>l’annexe de l’ordonnance sur les notions et les méthodes de mesure dans le domaine de la construction (ONMC). Les r</w:t>
            </w:r>
            <w:r w:rsidR="00C56962" w:rsidRPr="00F07020">
              <w:rPr>
                <w:szCs w:val="18"/>
                <w:lang w:val="fr-CH"/>
              </w:rPr>
              <w:t>é</w:t>
            </w:r>
            <w:r w:rsidR="00C56962" w:rsidRPr="00F07020">
              <w:rPr>
                <w:szCs w:val="18"/>
                <w:lang w:val="fr-CH"/>
              </w:rPr>
              <w:t xml:space="preserve">glementations ci-après portent uniquement sur des points qui ne </w:t>
            </w:r>
            <w:r w:rsidR="00DF0338" w:rsidRPr="00F07020">
              <w:rPr>
                <w:szCs w:val="18"/>
                <w:lang w:val="fr-CH"/>
              </w:rPr>
              <w:t xml:space="preserve">figurent pas </w:t>
            </w:r>
            <w:r w:rsidR="00C56962" w:rsidRPr="00F07020">
              <w:rPr>
                <w:szCs w:val="18"/>
                <w:lang w:val="fr-CH"/>
              </w:rPr>
              <w:t>dans l’annexe de l’ONMC.</w:t>
            </w: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</w:tr>
      <w:tr w:rsidR="00BD3F51" w:rsidRPr="00F07020">
        <w:trPr>
          <w:trHeight w:val="203"/>
        </w:trPr>
        <w:tc>
          <w:tcPr>
            <w:tcW w:w="2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36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72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4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230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350" w:type="dxa"/>
          </w:tcPr>
          <w:p w:rsidR="00BD3F51" w:rsidRPr="00F07020" w:rsidRDefault="00BD3F51" w:rsidP="00BD3F51">
            <w:pPr>
              <w:rPr>
                <w:lang w:val="fr-CH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BD3F51" w:rsidRPr="00F07020" w:rsidRDefault="00BD3F51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</w:tr>
      <w:tr w:rsidR="00BD3F51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  <w:bookmarkStart w:id="1" w:name="_Toc522947570"/>
            <w:r w:rsidRPr="00F07020">
              <w:rPr>
                <w:b/>
                <w:lang w:val="fr-CH"/>
              </w:rPr>
              <w:t>A</w:t>
            </w:r>
            <w:bookmarkEnd w:id="1"/>
            <w:r w:rsidR="00C66718" w:rsidRPr="00F07020">
              <w:rPr>
                <w:b/>
                <w:lang w:val="fr-CH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BD3F51" w:rsidRPr="00F07020" w:rsidRDefault="00BD3F51" w:rsidP="00BD3F51">
            <w:pPr>
              <w:rPr>
                <w:b/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E386F" w:rsidRPr="00F07020" w:rsidRDefault="00BD3F51" w:rsidP="00BD3F51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D</w:t>
            </w:r>
            <w:r w:rsidR="00C56962" w:rsidRPr="00F07020">
              <w:rPr>
                <w:rFonts w:cs="Arial"/>
                <w:b/>
                <w:lang w:val="fr-CH"/>
              </w:rPr>
              <w:t>É</w:t>
            </w:r>
            <w:r w:rsidRPr="00F07020">
              <w:rPr>
                <w:b/>
                <w:lang w:val="fr-CH"/>
              </w:rPr>
              <w:t>FINITIONS ET ME</w:t>
            </w:r>
            <w:r w:rsidR="00C56962" w:rsidRPr="00F07020">
              <w:rPr>
                <w:b/>
                <w:lang w:val="fr-CH"/>
              </w:rPr>
              <w:t>THODES DE MESURE</w:t>
            </w:r>
          </w:p>
        </w:tc>
        <w:tc>
          <w:tcPr>
            <w:tcW w:w="350" w:type="dxa"/>
          </w:tcPr>
          <w:p w:rsidR="00BD3F51" w:rsidRPr="00F07020" w:rsidRDefault="00BD3F51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BD3F51" w:rsidRPr="00F07020" w:rsidRDefault="00BD3F51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BD3F51" w:rsidRPr="00F07020" w:rsidRDefault="00BD3F51" w:rsidP="00BD3F51">
            <w:pPr>
              <w:rPr>
                <w:lang w:val="fr-CH"/>
              </w:rPr>
            </w:pPr>
          </w:p>
        </w:tc>
      </w:tr>
      <w:tr w:rsidR="00563C7F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63C7F" w:rsidRPr="00F07020" w:rsidRDefault="00563C7F" w:rsidP="00BD3F51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63C7F" w:rsidRPr="00F07020" w:rsidRDefault="00563C7F" w:rsidP="00BD3F51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63C7F" w:rsidRPr="00F07020" w:rsidRDefault="00563C7F" w:rsidP="00BD3F51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63C7F" w:rsidRPr="00F07020" w:rsidRDefault="00563C7F" w:rsidP="00BD3F51">
            <w:pPr>
              <w:rPr>
                <w:b/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63C7F" w:rsidRPr="00F07020" w:rsidRDefault="00563C7F" w:rsidP="00BD3F51">
            <w:pPr>
              <w:rPr>
                <w:b/>
                <w:lang w:val="fr-CH"/>
              </w:rPr>
            </w:pPr>
          </w:p>
        </w:tc>
        <w:tc>
          <w:tcPr>
            <w:tcW w:w="350" w:type="dxa"/>
          </w:tcPr>
          <w:p w:rsidR="00563C7F" w:rsidRPr="00F07020" w:rsidRDefault="00563C7F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63C7F" w:rsidRPr="00F07020" w:rsidRDefault="00563C7F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63C7F" w:rsidRPr="00F07020" w:rsidRDefault="00563C7F" w:rsidP="00BD3F51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A11</w:t>
            </w:r>
          </w:p>
        </w:tc>
        <w:tc>
          <w:tcPr>
            <w:tcW w:w="540" w:type="dxa"/>
            <w:shd w:val="clear" w:color="auto" w:fill="E6E6E6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 xml:space="preserve">Volume des constructions 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563C7F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63C7F" w:rsidRPr="00F07020" w:rsidRDefault="00563C7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63C7F" w:rsidRPr="00F07020" w:rsidRDefault="00563C7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63C7F" w:rsidRPr="00F07020" w:rsidRDefault="00563C7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63C7F" w:rsidRPr="00F07020" w:rsidRDefault="00563C7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63C7F" w:rsidRPr="00F07020" w:rsidRDefault="00563C7F" w:rsidP="00C33E08">
            <w:pPr>
              <w:rPr>
                <w:b/>
                <w:lang w:val="fr-CH"/>
              </w:rPr>
            </w:pPr>
          </w:p>
        </w:tc>
        <w:tc>
          <w:tcPr>
            <w:tcW w:w="350" w:type="dxa"/>
          </w:tcPr>
          <w:p w:rsidR="00563C7F" w:rsidRPr="00F07020" w:rsidRDefault="00563C7F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63C7F" w:rsidRPr="00F07020" w:rsidRDefault="00563C7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63C7F" w:rsidRPr="00F07020" w:rsidRDefault="00563C7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Atti</w:t>
            </w:r>
            <w:r w:rsidR="00732F75" w:rsidRPr="00F07020">
              <w:rPr>
                <w:b/>
                <w:lang w:val="fr-CH"/>
              </w:rPr>
              <w:t xml:space="preserve">que </w:t>
            </w: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A111</w:t>
            </w: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L'attique est un étage implanté sur un toit plat qui ne dépasse pas la hauteur maximale autorisée.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 w:val="restart"/>
          </w:tcPr>
          <w:p w:rsidR="00CE386F" w:rsidRPr="00F07020" w:rsidRDefault="0027171F" w:rsidP="00C33E08">
            <w:pPr>
              <w:pStyle w:val="Standard9"/>
              <w:rPr>
                <w:lang w:val="fr-CH"/>
              </w:rPr>
            </w:pPr>
            <w:r w:rsidRPr="00F07020">
              <w:rPr>
                <w:lang w:val="fr-CH"/>
              </w:rPr>
              <w:t>Hauteur et distance admise, cf. article 212, alinéa 2</w:t>
            </w:r>
          </w:p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  <w:p w:rsidR="00CE386F" w:rsidRPr="00F07020" w:rsidRDefault="00F7290F" w:rsidP="00C33E08">
            <w:pPr>
              <w:pStyle w:val="Standard9"/>
              <w:rPr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3225165" cy="2593340"/>
                  <wp:effectExtent l="0" t="0" r="0" b="0"/>
                  <wp:docPr id="1" name="Image 1" descr="Skizz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kizze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259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textDirection w:val="tbRl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 xml:space="preserve">Les superstructures techniques d'une hauteur de 1 m au plus ne sont pas prises en compte. 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3</w:t>
            </w:r>
          </w:p>
        </w:tc>
        <w:tc>
          <w:tcPr>
            <w:tcW w:w="5230" w:type="dxa"/>
            <w:shd w:val="clear" w:color="auto" w:fill="E0E0E0"/>
          </w:tcPr>
          <w:p w:rsidR="00245994" w:rsidRPr="00F07020" w:rsidRDefault="00245994" w:rsidP="00245994">
            <w:pPr>
              <w:rPr>
                <w:i/>
                <w:lang w:val="fr-CH"/>
              </w:rPr>
            </w:pPr>
            <w:r w:rsidRPr="00F07020">
              <w:rPr>
                <w:i/>
                <w:lang w:val="fr-CH"/>
              </w:rPr>
              <w:t xml:space="preserve">Par rapport </w:t>
            </w:r>
            <w:r w:rsidR="0027171F" w:rsidRPr="00F07020">
              <w:rPr>
                <w:i/>
                <w:lang w:val="fr-CH"/>
              </w:rPr>
              <w:t xml:space="preserve">aux façades </w:t>
            </w:r>
            <w:r w:rsidRPr="00F07020">
              <w:rPr>
                <w:i/>
                <w:lang w:val="fr-CH"/>
              </w:rPr>
              <w:t>de l'étage inférieur, l'attique doit</w:t>
            </w:r>
            <w:r w:rsidR="0027171F" w:rsidRPr="00F07020">
              <w:rPr>
                <w:i/>
                <w:lang w:val="fr-CH"/>
              </w:rPr>
              <w:t xml:space="preserve"> </w:t>
            </w:r>
            <w:r w:rsidRPr="00F07020">
              <w:rPr>
                <w:i/>
                <w:lang w:val="fr-CH"/>
              </w:rPr>
              <w:t xml:space="preserve">être en retrait à raison de la distance prescrite au minimum, sur </w:t>
            </w:r>
            <w:r w:rsidR="0027171F" w:rsidRPr="00F07020">
              <w:rPr>
                <w:i/>
                <w:lang w:val="fr-CH"/>
              </w:rPr>
              <w:t>la façade la plus longue au moins.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4</w:t>
            </w:r>
          </w:p>
        </w:tc>
        <w:tc>
          <w:tcPr>
            <w:tcW w:w="5230" w:type="dxa"/>
            <w:shd w:val="clear" w:color="auto" w:fill="E0E0E0"/>
          </w:tcPr>
          <w:p w:rsidR="0027171F" w:rsidRPr="00F07020" w:rsidRDefault="0027171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L'attique n'est pas compté dans le nombre des étages, mais dans la hauteur totale / hauteur de f</w:t>
            </w:r>
            <w:r w:rsidRPr="00F07020">
              <w:rPr>
                <w:lang w:val="fr-CH"/>
              </w:rPr>
              <w:t>a</w:t>
            </w:r>
            <w:r w:rsidRPr="00F07020">
              <w:rPr>
                <w:lang w:val="fr-CH"/>
              </w:rPr>
              <w:t>çade admise.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CE386F" w:rsidRPr="00F07020">
        <w:trPr>
          <w:trHeight w:val="203"/>
        </w:trPr>
        <w:tc>
          <w:tcPr>
            <w:tcW w:w="223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0E0E0"/>
          </w:tcPr>
          <w:p w:rsidR="00CE386F" w:rsidRPr="00F07020" w:rsidRDefault="00CE386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0E0E0"/>
          </w:tcPr>
          <w:p w:rsidR="00CE386F" w:rsidRPr="00F07020" w:rsidRDefault="00CE386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5</w:t>
            </w:r>
          </w:p>
        </w:tc>
        <w:tc>
          <w:tcPr>
            <w:tcW w:w="5230" w:type="dxa"/>
            <w:shd w:val="clear" w:color="auto" w:fill="E0E0E0"/>
          </w:tcPr>
          <w:p w:rsidR="0027171F" w:rsidRPr="00F07020" w:rsidRDefault="0027171F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Si l'attique a un avant-toit, le retrait est mesuré à partir de l'arête extérieure du toit.</w:t>
            </w:r>
          </w:p>
        </w:tc>
        <w:tc>
          <w:tcPr>
            <w:tcW w:w="350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E386F" w:rsidRPr="00F07020" w:rsidRDefault="00CE386F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E386F" w:rsidRPr="00F07020" w:rsidRDefault="00CE386F" w:rsidP="00C33E08">
            <w:pPr>
              <w:rPr>
                <w:lang w:val="fr-CH"/>
              </w:rPr>
            </w:pPr>
          </w:p>
        </w:tc>
      </w:tr>
      <w:tr w:rsidR="0027171F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27171F" w:rsidRPr="00F07020" w:rsidRDefault="0027171F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27171F" w:rsidRPr="00F07020" w:rsidRDefault="0027171F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27171F" w:rsidRPr="00F07020" w:rsidRDefault="0027171F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27171F" w:rsidRPr="00F07020" w:rsidRDefault="0027171F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27171F" w:rsidRPr="00F07020" w:rsidRDefault="0027171F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27171F" w:rsidRPr="00F07020" w:rsidRDefault="0027171F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27171F" w:rsidRPr="00F07020" w:rsidRDefault="0027171F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27171F" w:rsidRPr="00F07020" w:rsidRDefault="0027171F" w:rsidP="00BD3F51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222A67" w:rsidRPr="00F07020">
              <w:rPr>
                <w:b/>
                <w:lang w:val="fr-CH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Distances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Par rapport aux fonds voisins:</w:t>
            </w:r>
          </w:p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conventions</w:t>
            </w: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222A67" w:rsidRPr="00F07020">
              <w:rPr>
                <w:b/>
                <w:lang w:val="fr-CH"/>
              </w:rPr>
              <w:t>21</w:t>
            </w: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Les propriétaires voisins peuvent, moyennant une convention écrite ou des servitudes, régler les di</w:t>
            </w:r>
            <w:r w:rsidRPr="00F07020">
              <w:rPr>
                <w:lang w:val="fr-CH"/>
              </w:rPr>
              <w:t>s</w:t>
            </w:r>
            <w:r w:rsidRPr="00F07020">
              <w:rPr>
                <w:lang w:val="fr-CH"/>
              </w:rPr>
              <w:t>tances que doivent observer les constructions par rapport à la limite de leurs biens-fonds.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>Les propriétaires fonciers peuvent convenir de distances aux limites qui divergent des distances réglementaires (art. 212). La distance entre les bâtiments (annexe A1</w:t>
            </w:r>
            <w:r w:rsidR="00222A67" w:rsidRPr="00F07020">
              <w:rPr>
                <w:szCs w:val="18"/>
                <w:lang w:val="fr-CH"/>
              </w:rPr>
              <w:t xml:space="preserve"> 2</w:t>
            </w:r>
            <w:r w:rsidRPr="00F07020">
              <w:rPr>
                <w:szCs w:val="18"/>
                <w:lang w:val="fr-CH"/>
              </w:rPr>
              <w:t>4) doit néanmoins être observée. Il en résulte que si les propriétaires s'entendent au sujet d'une construction rapprochée, le propriétaire du fonds grevé doit éloigner ses constructions en conséquence. La po</w:t>
            </w:r>
            <w:r w:rsidRPr="00F07020">
              <w:rPr>
                <w:szCs w:val="18"/>
                <w:lang w:val="fr-CH"/>
              </w:rPr>
              <w:t>s</w:t>
            </w:r>
            <w:r w:rsidRPr="00F07020">
              <w:rPr>
                <w:szCs w:val="18"/>
                <w:lang w:val="fr-CH"/>
              </w:rPr>
              <w:t>sibilité d'accoler des bâtiments à la limite est réservée (annexe A141, al. 2).</w:t>
            </w: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Ils peuvent en particulier convenir d'implanter une construction à la limite ou – pour autant que les prescriptions sur la longueur maximale des bât</w:t>
            </w:r>
            <w:r w:rsidRPr="00F07020">
              <w:rPr>
                <w:lang w:val="fr-CH"/>
              </w:rPr>
              <w:t>i</w:t>
            </w:r>
            <w:r w:rsidRPr="00F07020">
              <w:rPr>
                <w:lang w:val="fr-CH"/>
              </w:rPr>
              <w:t>ments soient respectées – d'accoler leurs constru</w:t>
            </w:r>
            <w:r w:rsidRPr="00F07020">
              <w:rPr>
                <w:lang w:val="fr-CH"/>
              </w:rPr>
              <w:t>c</w:t>
            </w:r>
            <w:r w:rsidRPr="00F07020">
              <w:rPr>
                <w:lang w:val="fr-CH"/>
              </w:rPr>
              <w:t>tions à la limite.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Petite distance à la limite (</w:t>
            </w:r>
            <w:r w:rsidR="00536261" w:rsidRPr="00F07020">
              <w:rPr>
                <w:b/>
                <w:lang w:val="fr-CH"/>
              </w:rPr>
              <w:t>pD</w:t>
            </w:r>
            <w:r w:rsidRPr="00F07020">
              <w:rPr>
                <w:b/>
                <w:lang w:val="fr-CH"/>
              </w:rPr>
              <w:t>)</w:t>
            </w: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222A67" w:rsidRPr="00F07020">
              <w:rPr>
                <w:b/>
                <w:lang w:val="fr-CH"/>
              </w:rPr>
              <w:t>2</w:t>
            </w:r>
            <w:r w:rsidRPr="00F07020">
              <w:rPr>
                <w:b/>
                <w:lang w:val="fr-CH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11065D">
            <w:pPr>
              <w:rPr>
                <w:lang w:val="fr-CH"/>
              </w:rPr>
            </w:pPr>
            <w:r w:rsidRPr="00F07020">
              <w:rPr>
                <w:lang w:val="fr-CH"/>
              </w:rPr>
              <w:t>La petite distance à la limite (</w:t>
            </w:r>
            <w:r w:rsidR="00536261" w:rsidRPr="00F07020">
              <w:rPr>
                <w:lang w:val="fr-CH"/>
              </w:rPr>
              <w:t>pD</w:t>
            </w:r>
            <w:r w:rsidRPr="00F07020">
              <w:rPr>
                <w:lang w:val="fr-CH"/>
              </w:rPr>
              <w:t xml:space="preserve">) </w:t>
            </w:r>
            <w:r w:rsidR="00393ADB" w:rsidRPr="00F07020">
              <w:rPr>
                <w:lang w:val="fr-CH"/>
              </w:rPr>
              <w:t>est</w:t>
            </w:r>
            <w:r w:rsidRPr="00F07020">
              <w:rPr>
                <w:lang w:val="fr-CH"/>
              </w:rPr>
              <w:t xml:space="preserve"> la distance m</w:t>
            </w:r>
            <w:r w:rsidRPr="00F07020">
              <w:rPr>
                <w:lang w:val="fr-CH"/>
              </w:rPr>
              <w:t>i</w:t>
            </w:r>
            <w:r w:rsidRPr="00F07020">
              <w:rPr>
                <w:lang w:val="fr-CH"/>
              </w:rPr>
              <w:t xml:space="preserve">nimale </w:t>
            </w:r>
            <w:r w:rsidR="00393ADB" w:rsidRPr="00F07020">
              <w:rPr>
                <w:lang w:val="fr-CH"/>
              </w:rPr>
              <w:t>autorisée</w:t>
            </w:r>
            <w:r w:rsidRPr="00F07020">
              <w:rPr>
                <w:lang w:val="fr-CH"/>
              </w:rPr>
              <w:t xml:space="preserve"> entre la façade </w:t>
            </w:r>
            <w:r w:rsidR="00393ADB" w:rsidRPr="00F07020">
              <w:rPr>
                <w:lang w:val="fr-CH"/>
              </w:rPr>
              <w:t>projetée</w:t>
            </w:r>
            <w:r w:rsidRPr="00F07020">
              <w:rPr>
                <w:lang w:val="fr-CH"/>
              </w:rPr>
              <w:t xml:space="preserve"> et la limite </w:t>
            </w:r>
            <w:r w:rsidR="00393ADB" w:rsidRPr="00F07020">
              <w:rPr>
                <w:lang w:val="fr-CH"/>
              </w:rPr>
              <w:t>de la parcelle</w:t>
            </w:r>
            <w:r w:rsidRPr="00F07020">
              <w:rPr>
                <w:lang w:val="fr-CH"/>
              </w:rPr>
              <w:t>.</w:t>
            </w:r>
            <w:r w:rsidR="0011065D" w:rsidRPr="00F07020">
              <w:rPr>
                <w:lang w:val="fr-CH"/>
              </w:rPr>
              <w:t xml:space="preserve"> Elle est mesurée perpendiculair</w:t>
            </w:r>
            <w:r w:rsidR="0011065D" w:rsidRPr="00F07020">
              <w:rPr>
                <w:lang w:val="fr-CH"/>
              </w:rPr>
              <w:t>e</w:t>
            </w:r>
            <w:r w:rsidR="0011065D" w:rsidRPr="00F07020">
              <w:rPr>
                <w:lang w:val="fr-CH"/>
              </w:rPr>
              <w:t>ment à cette façade.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 w:val="restart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Elle est mesurée sur les côtés étroits et sur le côté long ombragé d'un bâtiment.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Grande distance à la limite (</w:t>
            </w:r>
            <w:r w:rsidR="00536261" w:rsidRPr="00F07020">
              <w:rPr>
                <w:b/>
                <w:lang w:val="fr-CH"/>
              </w:rPr>
              <w:t>gD</w:t>
            </w:r>
            <w:r w:rsidRPr="00F07020">
              <w:rPr>
                <w:b/>
                <w:lang w:val="fr-CH"/>
              </w:rPr>
              <w:t>)</w:t>
            </w: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222A67" w:rsidRPr="00F07020">
              <w:rPr>
                <w:b/>
                <w:lang w:val="fr-CH"/>
              </w:rPr>
              <w:t>2</w:t>
            </w:r>
            <w:r w:rsidRPr="00F07020">
              <w:rPr>
                <w:b/>
                <w:lang w:val="fr-CH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393ADB">
            <w:pPr>
              <w:rPr>
                <w:lang w:val="fr-CH"/>
              </w:rPr>
            </w:pPr>
            <w:r w:rsidRPr="00F07020">
              <w:rPr>
                <w:lang w:val="fr-CH"/>
              </w:rPr>
              <w:t>La grande distance à la limite (</w:t>
            </w:r>
            <w:r w:rsidR="00536261" w:rsidRPr="00F07020">
              <w:rPr>
                <w:lang w:val="fr-CH"/>
              </w:rPr>
              <w:t>gD</w:t>
            </w:r>
            <w:r w:rsidRPr="00F07020">
              <w:rPr>
                <w:lang w:val="fr-CH"/>
              </w:rPr>
              <w:t xml:space="preserve">) </w:t>
            </w:r>
            <w:r w:rsidR="00393ADB" w:rsidRPr="00F07020">
              <w:rPr>
                <w:lang w:val="fr-CH"/>
              </w:rPr>
              <w:t>est</w:t>
            </w:r>
            <w:r w:rsidRPr="00F07020">
              <w:rPr>
                <w:lang w:val="fr-CH"/>
              </w:rPr>
              <w:t xml:space="preserve"> la distance minimale </w:t>
            </w:r>
            <w:r w:rsidR="00393ADB" w:rsidRPr="00F07020">
              <w:rPr>
                <w:lang w:val="fr-CH"/>
              </w:rPr>
              <w:t xml:space="preserve">autorisée entre la façade projetée </w:t>
            </w:r>
            <w:r w:rsidRPr="00F07020">
              <w:rPr>
                <w:lang w:val="fr-CH"/>
              </w:rPr>
              <w:t xml:space="preserve">la plus longue exposée au soleil et la limite </w:t>
            </w:r>
            <w:r w:rsidR="00393ADB" w:rsidRPr="00F07020">
              <w:rPr>
                <w:lang w:val="fr-CH"/>
              </w:rPr>
              <w:t>de la parcelle</w:t>
            </w:r>
            <w:r w:rsidRPr="00F07020">
              <w:rPr>
                <w:lang w:val="fr-CH"/>
              </w:rPr>
              <w:t>. Elle est mesurée perpendiculairement à cette f</w:t>
            </w:r>
            <w:r w:rsidRPr="00F07020">
              <w:rPr>
                <w:lang w:val="fr-CH"/>
              </w:rPr>
              <w:t>a</w:t>
            </w:r>
            <w:r w:rsidRPr="00F07020">
              <w:rPr>
                <w:lang w:val="fr-CH"/>
              </w:rPr>
              <w:t>çade.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 w:val="restart"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 xml:space="preserve">Lorsque la plus longue façade ensoleillée ne peut être déterminée avec certitude (aucun des côtés ne dépasse les autres de plus de 10 % ou les longues </w:t>
            </w:r>
            <w:r w:rsidRPr="00F07020">
              <w:rPr>
                <w:lang w:val="fr-CH"/>
              </w:rPr>
              <w:lastRenderedPageBreak/>
              <w:t>façades sont orientées d'est en ouest), il appartient au maître d'ouvrage de désigner la façade à partir de laquelle se mesure la grande distance. Il ne sa</w:t>
            </w:r>
            <w:r w:rsidRPr="00F07020">
              <w:rPr>
                <w:lang w:val="fr-CH"/>
              </w:rPr>
              <w:t>u</w:t>
            </w:r>
            <w:r w:rsidRPr="00F07020">
              <w:rPr>
                <w:lang w:val="fr-CH"/>
              </w:rPr>
              <w:t>rait s'agir de celle qui est orientée au nord.</w:t>
            </w:r>
          </w:p>
        </w:tc>
        <w:tc>
          <w:tcPr>
            <w:tcW w:w="350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20" w:type="dxa"/>
            <w:vMerge/>
          </w:tcPr>
          <w:p w:rsidR="00C33E08" w:rsidRPr="00F07020" w:rsidRDefault="00C33E08" w:rsidP="00C33E08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222A67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Distance entre les bâtiments</w:t>
            </w: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222A67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A124</w:t>
            </w:r>
          </w:p>
        </w:tc>
        <w:tc>
          <w:tcPr>
            <w:tcW w:w="540" w:type="dxa"/>
            <w:shd w:val="clear" w:color="auto" w:fill="E6E6E6"/>
          </w:tcPr>
          <w:p w:rsidR="00C33E08" w:rsidRPr="00F07020" w:rsidRDefault="001C612D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  <w:p w:rsidR="001C612D" w:rsidRPr="00F07020" w:rsidRDefault="001C612D" w:rsidP="00C33E08">
            <w:pPr>
              <w:rPr>
                <w:lang w:val="fr-CH"/>
              </w:rPr>
            </w:pPr>
          </w:p>
          <w:p w:rsidR="001C612D" w:rsidRPr="00F07020" w:rsidRDefault="001C612D" w:rsidP="00C33E08">
            <w:pPr>
              <w:rPr>
                <w:lang w:val="fr-CH"/>
              </w:rPr>
            </w:pPr>
          </w:p>
          <w:p w:rsidR="001C612D" w:rsidRPr="00F07020" w:rsidRDefault="001C612D" w:rsidP="00C33E08">
            <w:pPr>
              <w:rPr>
                <w:lang w:val="fr-CH"/>
              </w:rPr>
            </w:pPr>
          </w:p>
          <w:p w:rsidR="001C612D" w:rsidRPr="00F07020" w:rsidRDefault="001C612D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6E6E6"/>
          </w:tcPr>
          <w:p w:rsidR="001C612D" w:rsidRPr="00F07020" w:rsidRDefault="001C612D" w:rsidP="00C33E08">
            <w:pPr>
              <w:rPr>
                <w:lang w:val="fr-CH"/>
              </w:rPr>
            </w:pPr>
            <w:r w:rsidRPr="00F07020">
              <w:rPr>
                <w:szCs w:val="22"/>
                <w:lang w:val="fr-CH"/>
              </w:rPr>
              <w:t>La distance entre les bâtiments correspond à la di</w:t>
            </w:r>
            <w:r w:rsidRPr="00F07020">
              <w:rPr>
                <w:szCs w:val="22"/>
                <w:lang w:val="fr-CH"/>
              </w:rPr>
              <w:t>s</w:t>
            </w:r>
            <w:r w:rsidRPr="00F07020">
              <w:rPr>
                <w:szCs w:val="22"/>
                <w:lang w:val="fr-CH"/>
              </w:rPr>
              <w:t>tance entre les projections des pieds de façade de deux bâtiments.</w:t>
            </w:r>
          </w:p>
          <w:p w:rsidR="001C612D" w:rsidRPr="00F07020" w:rsidRDefault="001C612D" w:rsidP="00C33E08">
            <w:pPr>
              <w:rPr>
                <w:lang w:val="fr-CH"/>
              </w:rPr>
            </w:pPr>
          </w:p>
          <w:p w:rsidR="001C612D" w:rsidRPr="00F07020" w:rsidRDefault="001C612D" w:rsidP="00C33E08">
            <w:pPr>
              <w:rPr>
                <w:lang w:val="fr-CH"/>
              </w:rPr>
            </w:pPr>
            <w:r w:rsidRPr="00F07020">
              <w:rPr>
                <w:lang w:val="fr-CH"/>
              </w:rPr>
              <w:t>La distance entre des bâtiments implantés sous un régime juridique antérieur ou moyennant une dér</w:t>
            </w:r>
            <w:r w:rsidRPr="00F07020">
              <w:rPr>
                <w:lang w:val="fr-CH"/>
              </w:rPr>
              <w:t>o</w:t>
            </w:r>
            <w:r w:rsidRPr="00F07020">
              <w:rPr>
                <w:lang w:val="fr-CH"/>
              </w:rPr>
              <w:t>gation qui ne respectent pas la distance à la limite prescrite est réduite à raison de la distance à la l</w:t>
            </w:r>
            <w:r w:rsidRPr="00F07020">
              <w:rPr>
                <w:lang w:val="fr-CH"/>
              </w:rPr>
              <w:t>i</w:t>
            </w:r>
            <w:r w:rsidRPr="00F07020">
              <w:rPr>
                <w:lang w:val="fr-CH"/>
              </w:rPr>
              <w:t>mite manquante.</w:t>
            </w:r>
          </w:p>
        </w:tc>
        <w:tc>
          <w:tcPr>
            <w:tcW w:w="350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</w:tr>
      <w:tr w:rsidR="00C33E08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C33E08" w:rsidRPr="00F07020" w:rsidRDefault="00C33E08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C33E08" w:rsidRPr="00F07020" w:rsidRDefault="00C33E08" w:rsidP="00C33E08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C33E08" w:rsidRPr="00F07020" w:rsidRDefault="00C33E08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C33E08" w:rsidRPr="00F07020" w:rsidRDefault="00C33E08" w:rsidP="00BD3F51">
            <w:pPr>
              <w:rPr>
                <w:lang w:val="fr-CH"/>
              </w:rPr>
            </w:pPr>
          </w:p>
        </w:tc>
      </w:tr>
      <w:tr w:rsidR="00433C72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Distances par ra</w:t>
            </w:r>
            <w:r w:rsidRPr="00F07020">
              <w:rPr>
                <w:b/>
                <w:lang w:val="fr-CH"/>
              </w:rPr>
              <w:t>p</w:t>
            </w:r>
            <w:r w:rsidRPr="00F07020">
              <w:rPr>
                <w:b/>
                <w:lang w:val="fr-CH"/>
              </w:rPr>
              <w:t>port aux limites de zones</w:t>
            </w:r>
          </w:p>
        </w:tc>
        <w:tc>
          <w:tcPr>
            <w:tcW w:w="36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A125</w:t>
            </w:r>
          </w:p>
        </w:tc>
        <w:tc>
          <w:tcPr>
            <w:tcW w:w="54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Les distances par rapport aux limites de zones sont mesurées de la même manière que les distances à observer par rapport aux biens-fonds voisins.</w:t>
            </w:r>
          </w:p>
        </w:tc>
        <w:tc>
          <w:tcPr>
            <w:tcW w:w="350" w:type="dxa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433C72" w:rsidRPr="00F07020" w:rsidRDefault="00433C72" w:rsidP="000A5AC4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>Distances: petite et grande distances à la limite, cf. annexes A122 et A123.</w:t>
            </w:r>
          </w:p>
        </w:tc>
        <w:tc>
          <w:tcPr>
            <w:tcW w:w="864" w:type="dxa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</w:tr>
      <w:tr w:rsidR="00433C72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433C72" w:rsidRPr="00F07020" w:rsidRDefault="00433C72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</w:tr>
      <w:tr w:rsidR="00034CCF" w:rsidRPr="00F07020" w:rsidTr="00FC24A5">
        <w:trPr>
          <w:trHeight w:val="203"/>
        </w:trPr>
        <w:tc>
          <w:tcPr>
            <w:tcW w:w="2230" w:type="dxa"/>
            <w:shd w:val="clear" w:color="auto" w:fill="E6E6E6"/>
          </w:tcPr>
          <w:p w:rsidR="00034CCF" w:rsidRPr="00F07020" w:rsidRDefault="00034CCF" w:rsidP="00FC24A5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 xml:space="preserve">Distance par </w:t>
            </w:r>
          </w:p>
          <w:p w:rsidR="00034CCF" w:rsidRPr="00F07020" w:rsidRDefault="00034CCF" w:rsidP="00FC24A5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rapport aux haies, bosquets et berges boisées</w:t>
            </w:r>
          </w:p>
        </w:tc>
        <w:tc>
          <w:tcPr>
            <w:tcW w:w="360" w:type="dxa"/>
            <w:shd w:val="clear" w:color="auto" w:fill="E6E6E6"/>
          </w:tcPr>
          <w:p w:rsidR="00034CCF" w:rsidRPr="00F07020" w:rsidRDefault="00034CCF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034CCF" w:rsidRPr="00F07020" w:rsidRDefault="00034CCF" w:rsidP="00034CCF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A126</w:t>
            </w:r>
          </w:p>
        </w:tc>
        <w:tc>
          <w:tcPr>
            <w:tcW w:w="540" w:type="dxa"/>
            <w:shd w:val="clear" w:color="auto" w:fill="E6E6E6"/>
          </w:tcPr>
          <w:p w:rsidR="00034CCF" w:rsidRPr="00F07020" w:rsidRDefault="00034CCF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034CCF" w:rsidRPr="00F07020" w:rsidRDefault="00034CCF" w:rsidP="00FC24A5">
            <w:pPr>
              <w:rPr>
                <w:lang w:val="fr-CH"/>
              </w:rPr>
            </w:pPr>
            <w:r w:rsidRPr="00F07020">
              <w:rPr>
                <w:lang w:val="fr-CH"/>
              </w:rPr>
              <w:t>Pour les bâtiments, il y a lieu d'observer une di</w:t>
            </w:r>
            <w:r w:rsidRPr="00F07020">
              <w:rPr>
                <w:lang w:val="fr-CH"/>
              </w:rPr>
              <w:t>s</w:t>
            </w:r>
            <w:r w:rsidRPr="00F07020">
              <w:rPr>
                <w:lang w:val="fr-CH"/>
              </w:rPr>
              <w:t>tance de 6 m au moins.</w:t>
            </w:r>
          </w:p>
          <w:p w:rsidR="00034CCF" w:rsidRPr="00F07020" w:rsidRDefault="00034CCF" w:rsidP="00FC24A5">
            <w:pPr>
              <w:rPr>
                <w:lang w:val="fr-CH"/>
              </w:rPr>
            </w:pPr>
          </w:p>
          <w:p w:rsidR="00034CCF" w:rsidRPr="00F07020" w:rsidRDefault="00034CCF" w:rsidP="00FC24A5">
            <w:pPr>
              <w:rPr>
                <w:lang w:val="fr-CH"/>
              </w:rPr>
            </w:pPr>
            <w:r w:rsidRPr="00F07020">
              <w:rPr>
                <w:lang w:val="fr-CH"/>
              </w:rPr>
              <w:t>Pour les installations (routes, chemins, places de dépôt et de stationnement, jardins), il y a lieu d'o</w:t>
            </w:r>
            <w:r w:rsidRPr="00F07020">
              <w:rPr>
                <w:lang w:val="fr-CH"/>
              </w:rPr>
              <w:t>b</w:t>
            </w:r>
            <w:r w:rsidRPr="00F07020">
              <w:rPr>
                <w:lang w:val="fr-CH"/>
              </w:rPr>
              <w:t>server une distance de 3 m au moins.</w:t>
            </w:r>
          </w:p>
        </w:tc>
        <w:tc>
          <w:tcPr>
            <w:tcW w:w="350" w:type="dxa"/>
          </w:tcPr>
          <w:p w:rsidR="00034CCF" w:rsidRPr="00F07020" w:rsidRDefault="00034CCF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034CCF" w:rsidRPr="00F07020" w:rsidRDefault="00034CCF" w:rsidP="00FC24A5">
            <w:pPr>
              <w:pStyle w:val="Standard9"/>
              <w:rPr>
                <w:lang w:val="fr-CH"/>
              </w:rPr>
            </w:pPr>
            <w:r w:rsidRPr="00F07020">
              <w:rPr>
                <w:lang w:val="fr-CH"/>
              </w:rPr>
              <w:t>Cf. article 48 OPD.</w:t>
            </w:r>
          </w:p>
          <w:p w:rsidR="00034CCF" w:rsidRPr="00F07020" w:rsidRDefault="00034CCF" w:rsidP="00FC24A5">
            <w:pPr>
              <w:pStyle w:val="Standard9"/>
              <w:rPr>
                <w:lang w:val="fr-CH"/>
              </w:rPr>
            </w:pPr>
          </w:p>
          <w:p w:rsidR="00034CCF" w:rsidRPr="00F07020" w:rsidRDefault="00034CCF" w:rsidP="00FC24A5">
            <w:pPr>
              <w:pStyle w:val="Standard9"/>
              <w:rPr>
                <w:lang w:val="fr-CH"/>
              </w:rPr>
            </w:pPr>
            <w:r w:rsidRPr="00F07020">
              <w:rPr>
                <w:lang w:val="fr-CH"/>
              </w:rPr>
              <w:t>Définition des limites:</w:t>
            </w:r>
          </w:p>
          <w:p w:rsidR="00034CCF" w:rsidRPr="00F07020" w:rsidRDefault="00034CCF" w:rsidP="00FC24A5">
            <w:pPr>
              <w:pStyle w:val="Standard9"/>
              <w:tabs>
                <w:tab w:val="left" w:pos="288"/>
              </w:tabs>
              <w:ind w:left="288" w:hanging="288"/>
              <w:rPr>
                <w:lang w:val="fr-CH"/>
              </w:rPr>
            </w:pPr>
            <w:r w:rsidRPr="00F07020">
              <w:rPr>
                <w:lang w:val="fr-CH"/>
              </w:rPr>
              <w:t>–</w:t>
            </w:r>
            <w:r w:rsidRPr="00F07020">
              <w:rPr>
                <w:lang w:val="fr-CH"/>
              </w:rPr>
              <w:tab/>
            </w:r>
            <w:r w:rsidRPr="00F07020">
              <w:rPr>
                <w:szCs w:val="18"/>
                <w:lang w:val="fr-CH"/>
              </w:rPr>
              <w:t>La limite des berges boisées se trouve à une distance d'au moins 3 m mesurée à partir de la végétation ou, en pr</w:t>
            </w:r>
            <w:r w:rsidRPr="00F07020">
              <w:rPr>
                <w:szCs w:val="18"/>
                <w:lang w:val="fr-CH"/>
              </w:rPr>
              <w:t>é</w:t>
            </w:r>
            <w:r w:rsidRPr="00F07020">
              <w:rPr>
                <w:szCs w:val="18"/>
                <w:lang w:val="fr-CH"/>
              </w:rPr>
              <w:t>sence d'arbres forestiers, à partir des troncs des arbres et des pieds des buissons extérieurs.</w:t>
            </w:r>
          </w:p>
          <w:p w:rsidR="00034CCF" w:rsidRPr="00F07020" w:rsidRDefault="00034CCF" w:rsidP="00A36174">
            <w:pPr>
              <w:pStyle w:val="Standard9"/>
              <w:numPr>
                <w:ilvl w:val="0"/>
                <w:numId w:val="37"/>
              </w:numPr>
              <w:ind w:left="289" w:hanging="289"/>
              <w:rPr>
                <w:lang w:val="fr-CH"/>
              </w:rPr>
            </w:pPr>
            <w:r w:rsidRPr="00F07020">
              <w:rPr>
                <w:lang w:val="fr-CH"/>
              </w:rPr>
              <w:t>La limite des haies et bosquets se trouve à une distance d'au moins 2 m mesurée depuis le pied des buissons ext</w:t>
            </w:r>
            <w:r w:rsidRPr="00F07020">
              <w:rPr>
                <w:lang w:val="fr-CH"/>
              </w:rPr>
              <w:t>é</w:t>
            </w:r>
            <w:r w:rsidRPr="00F07020">
              <w:rPr>
                <w:lang w:val="fr-CH"/>
              </w:rPr>
              <w:t>rieurs ou d'au moins 3 m mesurée depuis le tronc des arbres forestiers extérieurs.</w:t>
            </w:r>
          </w:p>
        </w:tc>
        <w:tc>
          <w:tcPr>
            <w:tcW w:w="864" w:type="dxa"/>
          </w:tcPr>
          <w:p w:rsidR="00034CCF" w:rsidRPr="00F07020" w:rsidRDefault="00034CCF" w:rsidP="00FC24A5">
            <w:pPr>
              <w:rPr>
                <w:lang w:val="fr-CH"/>
              </w:rPr>
            </w:pPr>
          </w:p>
        </w:tc>
      </w:tr>
      <w:tr w:rsidR="00433C72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spacing w:val="-4"/>
                <w:szCs w:val="22"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433C72" w:rsidRPr="00F07020" w:rsidRDefault="00433C72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433C72" w:rsidRPr="00F07020" w:rsidRDefault="00433C72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vMerge w:val="restart"/>
          </w:tcPr>
          <w:p w:rsidR="00433C72" w:rsidRPr="00F07020" w:rsidRDefault="00433C72" w:rsidP="000A5AC4">
            <w:pPr>
              <w:rPr>
                <w:lang w:val="fr-CH"/>
              </w:rPr>
            </w:pPr>
          </w:p>
        </w:tc>
      </w:tr>
      <w:tr w:rsidR="001737DC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1737DC" w:rsidRPr="00F07020" w:rsidRDefault="001737DC" w:rsidP="00FC24A5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1737DC" w:rsidRPr="00F07020" w:rsidRDefault="001737DC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1737DC" w:rsidRPr="00F07020" w:rsidRDefault="001737DC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1737DC" w:rsidRPr="00F07020" w:rsidRDefault="001737DC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1737DC" w:rsidRPr="00F07020" w:rsidRDefault="001737DC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1737DC" w:rsidRPr="00F07020" w:rsidRDefault="001737DC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1737DC" w:rsidRPr="00F07020" w:rsidRDefault="001737DC" w:rsidP="00FC24A5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vMerge/>
          </w:tcPr>
          <w:p w:rsidR="001737DC" w:rsidRPr="00F07020" w:rsidRDefault="001737DC" w:rsidP="000A5AC4">
            <w:pPr>
              <w:rPr>
                <w:lang w:val="fr-CH"/>
              </w:rPr>
            </w:pPr>
          </w:p>
        </w:tc>
      </w:tr>
    </w:tbl>
    <w:p w:rsidR="005E53DE" w:rsidRPr="00F07020" w:rsidRDefault="005E53DE">
      <w:pPr>
        <w:rPr>
          <w:lang w:val="fr-CH"/>
        </w:rPr>
      </w:pPr>
      <w:r w:rsidRPr="00F07020">
        <w:rPr>
          <w:lang w:val="fr-CH"/>
        </w:rPr>
        <w:br w:type="page"/>
      </w:r>
    </w:p>
    <w:tbl>
      <w:tblPr>
        <w:tblW w:w="155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360"/>
        <w:gridCol w:w="720"/>
        <w:gridCol w:w="540"/>
        <w:gridCol w:w="5230"/>
        <w:gridCol w:w="350"/>
        <w:gridCol w:w="5220"/>
        <w:gridCol w:w="864"/>
      </w:tblGrid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77535A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A13</w:t>
            </w: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CF3490" w:rsidP="00FC24A5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Espace réservé aux eaux</w:t>
            </w: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77535A">
            <w:pPr>
              <w:rPr>
                <w:b/>
                <w:spacing w:val="-4"/>
                <w:szCs w:val="22"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DB040B" w:rsidP="00DB040B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Cours d’eau</w:t>
            </w: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A131</w:t>
            </w: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DB040B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Cf. article 41a OEaux.</w:t>
            </w:r>
          </w:p>
          <w:p w:rsidR="005E53DE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Espace réservé aux eaux (surface).</w:t>
            </w: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DB040B" w:rsidP="00FC24A5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Variante du mode de m</w:t>
            </w:r>
            <w:r w:rsidRPr="00F07020">
              <w:rPr>
                <w:sz w:val="18"/>
                <w:szCs w:val="18"/>
                <w:lang w:val="fr-CH"/>
              </w:rPr>
              <w:t>e</w:t>
            </w:r>
            <w:r w:rsidRPr="00F07020">
              <w:rPr>
                <w:sz w:val="18"/>
                <w:szCs w:val="18"/>
                <w:lang w:val="fr-CH"/>
              </w:rPr>
              <w:t>surage.</w:t>
            </w: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5E53DE" w:rsidP="00FC24A5">
            <w:pPr>
              <w:rPr>
                <w:sz w:val="18"/>
                <w:szCs w:val="18"/>
                <w:lang w:val="fr-CH"/>
              </w:rPr>
            </w:pPr>
          </w:p>
          <w:p w:rsidR="005E53DE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Mode de mesurage dans le cas de cours d’eau enterrés.</w:t>
            </w: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F7290F" w:rsidP="00FC24A5">
            <w:pPr>
              <w:rPr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3183890" cy="4439285"/>
                  <wp:effectExtent l="0" t="0" r="0" b="0"/>
                  <wp:docPr id="2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40" t="12190" r="34634" b="4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90" cy="443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5E53DE">
            <w:pPr>
              <w:rPr>
                <w:b/>
                <w:spacing w:val="-4"/>
                <w:szCs w:val="22"/>
                <w:lang w:val="fr-CH"/>
              </w:rPr>
            </w:pPr>
            <w:r w:rsidRPr="00F07020">
              <w:rPr>
                <w:b/>
                <w:spacing w:val="-4"/>
                <w:szCs w:val="22"/>
                <w:lang w:val="fr-CH"/>
              </w:rPr>
              <w:t>Etendues d’eau</w:t>
            </w:r>
          </w:p>
          <w:p w:rsidR="00DB040B" w:rsidRPr="00F07020" w:rsidRDefault="00DB040B" w:rsidP="005E53DE">
            <w:pPr>
              <w:rPr>
                <w:sz w:val="18"/>
                <w:szCs w:val="18"/>
                <w:lang w:val="fr-CH"/>
              </w:rPr>
            </w:pPr>
          </w:p>
          <w:p w:rsidR="00DB040B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Cf. article 41b OEaux.</w:t>
            </w:r>
          </w:p>
          <w:p w:rsidR="00DB040B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La ligne de rive corre</w:t>
            </w:r>
            <w:r w:rsidRPr="00F07020">
              <w:rPr>
                <w:sz w:val="18"/>
                <w:szCs w:val="18"/>
                <w:lang w:val="fr-CH"/>
              </w:rPr>
              <w:t>s</w:t>
            </w:r>
            <w:r w:rsidRPr="00F07020">
              <w:rPr>
                <w:sz w:val="18"/>
                <w:szCs w:val="18"/>
                <w:lang w:val="fr-CH"/>
              </w:rPr>
              <w:t>pond au point</w:t>
            </w:r>
          </w:p>
          <w:p w:rsidR="00DB040B" w:rsidRPr="00F07020" w:rsidRDefault="00DB040B" w:rsidP="00DB040B">
            <w:pPr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d’intersection du niveau de crue annuel</w:t>
            </w:r>
          </w:p>
          <w:p w:rsidR="00DB040B" w:rsidRPr="00F07020" w:rsidRDefault="00DB040B" w:rsidP="00DB040B">
            <w:pPr>
              <w:rPr>
                <w:b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moyen avec la rive.</w:t>
            </w: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  <w:r w:rsidRPr="00F07020">
              <w:rPr>
                <w:b/>
                <w:spacing w:val="-4"/>
                <w:szCs w:val="22"/>
                <w:lang w:val="fr-CH"/>
              </w:rPr>
              <w:t>A132</w:t>
            </w: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F7290F" w:rsidP="00FC24A5">
            <w:pPr>
              <w:rPr>
                <w:lang w:val="fr-CH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3216910" cy="1313180"/>
                  <wp:effectExtent l="0" t="0" r="2540" b="1270"/>
                  <wp:docPr id="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86" t="60867" r="32256" b="11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910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cantSplit/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FC24A5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FC24A5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77535A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Indices d’affectation</w:t>
            </w:r>
          </w:p>
        </w:tc>
        <w:tc>
          <w:tcPr>
            <w:tcW w:w="350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Taux d'habitation (TH)</w:t>
            </w: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4</w:t>
            </w:r>
            <w:r w:rsidRPr="00F07020">
              <w:rPr>
                <w:b/>
                <w:lang w:val="fr-CH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Le taux d'habitation (TH) est la part en pour cent de la surface de plancher destinée à l'habitat (SPh, composée des surfaces utiles principales, des su</w:t>
            </w:r>
            <w:r w:rsidRPr="00F07020">
              <w:rPr>
                <w:lang w:val="fr-CH"/>
              </w:rPr>
              <w:t>r</w:t>
            </w:r>
            <w:r w:rsidRPr="00F07020">
              <w:rPr>
                <w:lang w:val="fr-CH"/>
              </w:rPr>
              <w:t>faces utiles secondaires et des surfaces de con</w:t>
            </w:r>
            <w:r w:rsidRPr="00F07020">
              <w:rPr>
                <w:lang w:val="fr-CH"/>
              </w:rPr>
              <w:t>s</w:t>
            </w:r>
            <w:r w:rsidRPr="00F07020">
              <w:rPr>
                <w:lang w:val="fr-CH"/>
              </w:rPr>
              <w:t>truction des logements) par rapport à la somme des surfaces de plancher (SP).</w:t>
            </w:r>
          </w:p>
        </w:tc>
        <w:tc>
          <w:tcPr>
            <w:tcW w:w="350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0A5AC4">
            <w:pPr>
              <w:tabs>
                <w:tab w:val="left" w:pos="998"/>
                <w:tab w:val="left" w:pos="1370"/>
                <w:tab w:val="left" w:pos="2128"/>
              </w:tabs>
              <w:rPr>
                <w:sz w:val="18"/>
                <w:szCs w:val="18"/>
                <w:u w:val="single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TH en %</w:t>
            </w:r>
            <w:r w:rsidRPr="00F07020">
              <w:rPr>
                <w:sz w:val="18"/>
                <w:szCs w:val="18"/>
                <w:lang w:val="fr-CH"/>
              </w:rPr>
              <w:tab/>
              <w:t>=</w:t>
            </w:r>
            <w:r w:rsidRPr="00F07020">
              <w:rPr>
                <w:sz w:val="18"/>
                <w:szCs w:val="18"/>
                <w:lang w:val="fr-CH"/>
              </w:rPr>
              <w:tab/>
            </w:r>
            <w:r w:rsidRPr="00F07020">
              <w:rPr>
                <w:sz w:val="18"/>
                <w:szCs w:val="18"/>
                <w:u w:val="single"/>
                <w:lang w:val="fr-CH"/>
              </w:rPr>
              <w:t>SPh x 100</w:t>
            </w:r>
          </w:p>
          <w:p w:rsidR="005E53DE" w:rsidRPr="00F07020" w:rsidRDefault="005E53DE" w:rsidP="000A5AC4">
            <w:pPr>
              <w:pStyle w:val="Standard9"/>
              <w:tabs>
                <w:tab w:val="left" w:pos="1370"/>
              </w:tabs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ab/>
              <w:t xml:space="preserve">       SP</w:t>
            </w:r>
            <w:r w:rsidRPr="00F07020">
              <w:rPr>
                <w:lang w:val="fr-CH"/>
              </w:rPr>
              <w:t xml:space="preserve"> </w:t>
            </w: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Si plusieurs bâtiments sont érigés en commun sur un ou plusieurs biens-fonds, les logements ou les surfaces artisanales ou commerciales qu'exigent les taux minimaux applicables peuvent être regroupés dans certains bâtiments réalisés soit de manière anticipée, soit simultanément aux autres.</w:t>
            </w:r>
          </w:p>
        </w:tc>
        <w:tc>
          <w:tcPr>
            <w:tcW w:w="350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E6E6E6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3</w:t>
            </w:r>
          </w:p>
        </w:tc>
        <w:tc>
          <w:tcPr>
            <w:tcW w:w="5230" w:type="dxa"/>
            <w:shd w:val="clear" w:color="auto" w:fill="E6E6E6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Les bâtiments existants bénéficient de la garantie des droits acquis.</w:t>
            </w:r>
          </w:p>
        </w:tc>
        <w:tc>
          <w:tcPr>
            <w:tcW w:w="350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C33E08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C33E08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C33E08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BD3F51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BD3F51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</w:tbl>
    <w:p w:rsidR="00FD64A9" w:rsidRPr="00F07020" w:rsidRDefault="00FD64A9">
      <w:pPr>
        <w:rPr>
          <w:lang w:val="fr-CH"/>
        </w:rPr>
      </w:pPr>
      <w:r w:rsidRPr="00F07020">
        <w:rPr>
          <w:lang w:val="fr-CH"/>
        </w:rPr>
        <w:br w:type="page"/>
      </w:r>
    </w:p>
    <w:tbl>
      <w:tblPr>
        <w:tblW w:w="155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30"/>
        <w:gridCol w:w="360"/>
        <w:gridCol w:w="720"/>
        <w:gridCol w:w="540"/>
        <w:gridCol w:w="5230"/>
        <w:gridCol w:w="350"/>
        <w:gridCol w:w="5220"/>
        <w:gridCol w:w="864"/>
      </w:tblGrid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Indices d'affectation selon l’ancien droit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DB3969" w:rsidP="00A36174">
            <w:pPr>
              <w:pStyle w:val="Standard9"/>
              <w:rPr>
                <w:lang w:val="fr-CH"/>
              </w:rPr>
            </w:pPr>
            <w:r w:rsidRPr="00F07020">
              <w:rPr>
                <w:lang w:val="fr-CH"/>
              </w:rPr>
              <w:t xml:space="preserve">Les </w:t>
            </w:r>
            <w:r w:rsidR="00A36174" w:rsidRPr="00F07020">
              <w:rPr>
                <w:lang w:val="fr-CH"/>
              </w:rPr>
              <w:t xml:space="preserve">dispositions sur l’affectation </w:t>
            </w:r>
            <w:r w:rsidRPr="00F07020">
              <w:rPr>
                <w:lang w:val="fr-CH"/>
              </w:rPr>
              <w:t>prévues par l’ancien droit do</w:t>
            </w:r>
            <w:r w:rsidRPr="00F07020">
              <w:rPr>
                <w:lang w:val="fr-CH"/>
              </w:rPr>
              <w:t>i</w:t>
            </w:r>
            <w:r w:rsidRPr="00F07020">
              <w:rPr>
                <w:lang w:val="fr-CH"/>
              </w:rPr>
              <w:t xml:space="preserve">vent être mentionnées uniquement si l’ONMC n’a pas encore été intégralement </w:t>
            </w:r>
            <w:r w:rsidR="00A36174" w:rsidRPr="00F07020">
              <w:rPr>
                <w:lang w:val="fr-CH"/>
              </w:rPr>
              <w:t xml:space="preserve">prise en compte </w:t>
            </w:r>
            <w:r w:rsidRPr="00F07020">
              <w:rPr>
                <w:lang w:val="fr-CH"/>
              </w:rPr>
              <w:t>dans le plan d’affectation de la commune et en particulier dans les plans de quartier selon l’article 88 LC.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Indice d'utilisation (IU)</w:t>
            </w: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5</w:t>
            </w:r>
            <w:r w:rsidRPr="00F07020">
              <w:rPr>
                <w:b/>
                <w:lang w:val="fr-CH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713D0">
            <w:pPr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lang w:val="fr-CH"/>
              </w:rPr>
              <w:t xml:space="preserve">L'indice d'utilisation (IU) </w:t>
            </w:r>
            <w:r w:rsidRPr="00F07020">
              <w:rPr>
                <w:rFonts w:cs="Arial"/>
                <w:szCs w:val="22"/>
                <w:lang w:val="fr-CH" w:eastAsia="de-CH"/>
              </w:rPr>
              <w:t>est le rapport numérique entre la surface brute au plancher imputable et</w:t>
            </w:r>
          </w:p>
          <w:p w:rsidR="005E53DE" w:rsidRPr="00F07020" w:rsidRDefault="005E53DE" w:rsidP="000713D0">
            <w:pPr>
              <w:rPr>
                <w:lang w:val="fr-CH"/>
              </w:rPr>
            </w:pPr>
            <w:r w:rsidRPr="00F07020">
              <w:rPr>
                <w:rFonts w:cs="Arial"/>
                <w:szCs w:val="22"/>
                <w:lang w:val="fr-CH" w:eastAsia="de-CH"/>
              </w:rPr>
              <w:t>la surface de terrain imputable.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 xml:space="preserve">Cf. </w:t>
            </w:r>
            <w:r w:rsidR="00DB3969" w:rsidRPr="00F07020">
              <w:rPr>
                <w:sz w:val="18"/>
                <w:szCs w:val="18"/>
                <w:lang w:val="fr-CH"/>
              </w:rPr>
              <w:t xml:space="preserve">ancien </w:t>
            </w:r>
            <w:r w:rsidRPr="00F07020">
              <w:rPr>
                <w:sz w:val="18"/>
                <w:szCs w:val="18"/>
                <w:lang w:val="fr-CH"/>
              </w:rPr>
              <w:t>article 93, alinéa 1 OC.</w:t>
            </w:r>
          </w:p>
          <w:p w:rsidR="005E53DE" w:rsidRPr="00F07020" w:rsidRDefault="005E53DE" w:rsidP="000A5AC4">
            <w:pPr>
              <w:tabs>
                <w:tab w:val="left" w:pos="548"/>
                <w:tab w:val="left" w:pos="1010"/>
                <w:tab w:val="left" w:pos="2128"/>
              </w:tabs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IU</w:t>
            </w:r>
            <w:r w:rsidRPr="00F07020">
              <w:rPr>
                <w:sz w:val="18"/>
                <w:szCs w:val="18"/>
                <w:lang w:val="fr-CH"/>
              </w:rPr>
              <w:tab/>
              <w:t>=</w:t>
            </w:r>
            <w:r w:rsidRPr="00F07020">
              <w:rPr>
                <w:sz w:val="18"/>
                <w:szCs w:val="18"/>
                <w:lang w:val="fr-CH"/>
              </w:rPr>
              <w:tab/>
            </w:r>
            <w:r w:rsidRPr="00F07020">
              <w:rPr>
                <w:sz w:val="18"/>
                <w:szCs w:val="18"/>
                <w:u w:val="single"/>
                <w:lang w:val="fr-CH"/>
              </w:rPr>
              <w:t>SBP</w:t>
            </w:r>
          </w:p>
          <w:p w:rsidR="005E53DE" w:rsidRPr="00F07020" w:rsidRDefault="005E53DE" w:rsidP="000A5AC4">
            <w:pPr>
              <w:pStyle w:val="Standard9"/>
              <w:tabs>
                <w:tab w:val="left" w:pos="1010"/>
              </w:tabs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ab/>
              <w:t>STI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Surface brute au plancher (SBP)</w:t>
            </w: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5</w:t>
            </w:r>
            <w:r w:rsidRPr="00F07020">
              <w:rPr>
                <w:b/>
                <w:lang w:val="fr-CH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713D0">
            <w:pPr>
              <w:rPr>
                <w:lang w:val="fr-CH"/>
              </w:rPr>
            </w:pPr>
            <w:r w:rsidRPr="00F07020">
              <w:rPr>
                <w:szCs w:val="22"/>
                <w:lang w:val="fr-CH"/>
              </w:rPr>
              <w:t xml:space="preserve">La surface brute au plancher (SBP) imputable </w:t>
            </w:r>
            <w:r w:rsidRPr="00F07020">
              <w:rPr>
                <w:rFonts w:cs="Arial"/>
                <w:szCs w:val="22"/>
                <w:lang w:val="fr-CH" w:eastAsia="de-CH"/>
              </w:rPr>
              <w:t>est égale à la surface totale de tous les étages au-dessus et au-dessous du sol, murs et parois dans leur section horizontale compris, qui servent à l'h</w:t>
            </w:r>
            <w:r w:rsidRPr="00F07020">
              <w:rPr>
                <w:rFonts w:cs="Arial"/>
                <w:szCs w:val="22"/>
                <w:lang w:val="fr-CH" w:eastAsia="de-CH"/>
              </w:rPr>
              <w:t>a</w:t>
            </w:r>
            <w:r w:rsidRPr="00F07020">
              <w:rPr>
                <w:rFonts w:cs="Arial"/>
                <w:szCs w:val="22"/>
                <w:lang w:val="fr-CH" w:eastAsia="de-CH"/>
              </w:rPr>
              <w:t>bitation ou à l'artisanat, ou qui sont utilisables à cet effet. Ne sont pas comptés</w:t>
            </w:r>
            <w:r w:rsidRPr="00F07020">
              <w:rPr>
                <w:rFonts w:cs="Arial"/>
                <w:sz w:val="24"/>
                <w:szCs w:val="24"/>
                <w:lang w:val="fr-CH" w:eastAsia="de-CH"/>
              </w:rPr>
              <w:t>: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 xml:space="preserve">Cf. </w:t>
            </w:r>
            <w:r w:rsidR="00DB3969" w:rsidRPr="00F07020">
              <w:rPr>
                <w:szCs w:val="18"/>
                <w:lang w:val="fr-CH"/>
              </w:rPr>
              <w:t xml:space="preserve">ancien </w:t>
            </w:r>
            <w:r w:rsidRPr="00F07020">
              <w:rPr>
                <w:szCs w:val="18"/>
                <w:lang w:val="fr-CH"/>
              </w:rPr>
              <w:t>article 93, alinéa 2 OC.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pacing w:val="-4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szCs w:val="22"/>
                <w:lang w:val="fr-CH" w:eastAsia="de-CH"/>
              </w:rPr>
              <w:t>a</w:t>
            </w:r>
            <w:r w:rsidRPr="00F07020">
              <w:rPr>
                <w:rFonts w:cs="Arial"/>
                <w:i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pacing w:val="-4"/>
                <w:szCs w:val="22"/>
                <w:lang w:val="fr-CH" w:eastAsia="de-CH"/>
              </w:rPr>
              <w:t>les caves et les greniers dépendant des logements, dans la mesure où ils ne sont pas utilisables comme locaux d'habitation ou de travail (</w:t>
            </w:r>
            <w:r w:rsidR="00DB3969" w:rsidRPr="00F07020">
              <w:rPr>
                <w:rFonts w:cs="Arial"/>
                <w:spacing w:val="-4"/>
                <w:szCs w:val="22"/>
                <w:lang w:val="fr-CH" w:eastAsia="de-CH"/>
              </w:rPr>
              <w:t xml:space="preserve">ancien </w:t>
            </w:r>
            <w:r w:rsidRPr="00F07020">
              <w:rPr>
                <w:rFonts w:cs="Arial"/>
                <w:spacing w:val="-4"/>
                <w:szCs w:val="22"/>
                <w:lang w:val="fr-CH" w:eastAsia="de-CH"/>
              </w:rPr>
              <w:t>art. 6</w:t>
            </w:r>
            <w:r w:rsidR="00DB3969" w:rsidRPr="00F07020">
              <w:rPr>
                <w:rFonts w:cs="Arial"/>
                <w:spacing w:val="-4"/>
                <w:szCs w:val="22"/>
                <w:lang w:val="fr-CH" w:eastAsia="de-CH"/>
              </w:rPr>
              <w:t>3 OC</w:t>
            </w:r>
            <w:r w:rsidRPr="00F07020">
              <w:rPr>
                <w:rFonts w:cs="Arial"/>
                <w:spacing w:val="-4"/>
                <w:szCs w:val="22"/>
                <w:lang w:val="fr-CH" w:eastAsia="de-CH"/>
              </w:rPr>
              <w:t>);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b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galeries sous toit qui appartiennent à un e</w:t>
            </w:r>
            <w:r w:rsidRPr="00F07020">
              <w:rPr>
                <w:rFonts w:cs="Arial"/>
                <w:szCs w:val="22"/>
                <w:lang w:val="fr-CH" w:eastAsia="de-CH"/>
              </w:rPr>
              <w:t>s</w:t>
            </w:r>
            <w:r w:rsidRPr="00F07020">
              <w:rPr>
                <w:rFonts w:cs="Arial"/>
                <w:szCs w:val="22"/>
                <w:lang w:val="fr-CH" w:eastAsia="de-CH"/>
              </w:rPr>
              <w:t>pace habitable, dans la mesure où elles ne de</w:t>
            </w:r>
            <w:r w:rsidRPr="00F07020">
              <w:rPr>
                <w:rFonts w:cs="Arial"/>
                <w:szCs w:val="22"/>
                <w:lang w:val="fr-CH" w:eastAsia="de-CH"/>
              </w:rPr>
              <w:t>s</w:t>
            </w:r>
            <w:r w:rsidRPr="00F07020">
              <w:rPr>
                <w:rFonts w:cs="Arial"/>
                <w:szCs w:val="22"/>
                <w:lang w:val="fr-CH" w:eastAsia="de-CH"/>
              </w:rPr>
              <w:t>servent aucune pièce dont la surface est imp</w:t>
            </w:r>
            <w:r w:rsidRPr="00F07020">
              <w:rPr>
                <w:rFonts w:cs="Arial"/>
                <w:szCs w:val="22"/>
                <w:lang w:val="fr-CH" w:eastAsia="de-CH"/>
              </w:rPr>
              <w:t>u</w:t>
            </w:r>
            <w:r w:rsidRPr="00F07020">
              <w:rPr>
                <w:rFonts w:cs="Arial"/>
                <w:szCs w:val="22"/>
                <w:lang w:val="fr-CH" w:eastAsia="de-CH"/>
              </w:rPr>
              <w:t>table;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c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chaufferies, caves à charbon, locaux abritant des citernes, locaux pour accumulateurs d'éne</w:t>
            </w:r>
            <w:r w:rsidRPr="00F07020">
              <w:rPr>
                <w:rFonts w:cs="Arial"/>
                <w:szCs w:val="22"/>
                <w:lang w:val="fr-CH" w:eastAsia="de-CH"/>
              </w:rPr>
              <w:t>r</w:t>
            </w:r>
            <w:r w:rsidRPr="00F07020">
              <w:rPr>
                <w:rFonts w:cs="Arial"/>
                <w:szCs w:val="22"/>
                <w:lang w:val="fr-CH" w:eastAsia="de-CH"/>
              </w:rPr>
              <w:t>gie et buanderies;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d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salles des machines pour les ascenseurs, les installations de ventilation et de climatisation;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e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parkings couverts ou réduits pour véhicules à moteur, bicyclettes et voitures d'enfants servant à tous les habitants, visiteurs et employés, ainsi que les locaux communautaires des maisons l</w:t>
            </w:r>
            <w:r w:rsidRPr="00F07020">
              <w:rPr>
                <w:rFonts w:cs="Arial"/>
                <w:szCs w:val="22"/>
                <w:lang w:val="fr-CH" w:eastAsia="de-CH"/>
              </w:rPr>
              <w:t>o</w:t>
            </w:r>
            <w:r w:rsidRPr="00F07020">
              <w:rPr>
                <w:rFonts w:cs="Arial"/>
                <w:szCs w:val="22"/>
                <w:lang w:val="fr-CH" w:eastAsia="de-CH"/>
              </w:rPr>
              <w:lastRenderedPageBreak/>
              <w:t>catives et des ensembles d'habitation;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f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aires de circulation telles que couloirs, esc</w:t>
            </w:r>
            <w:r w:rsidRPr="00F07020">
              <w:rPr>
                <w:rFonts w:cs="Arial"/>
                <w:szCs w:val="22"/>
                <w:lang w:val="fr-CH" w:eastAsia="de-CH"/>
              </w:rPr>
              <w:t>a</w:t>
            </w:r>
            <w:r w:rsidRPr="00F07020">
              <w:rPr>
                <w:rFonts w:cs="Arial"/>
                <w:szCs w:val="22"/>
                <w:lang w:val="fr-CH" w:eastAsia="de-CH"/>
              </w:rPr>
              <w:t>liers et ascenseurs qui desservent exclusivement des locaux dont la surface n'est pas imputable et, de plus, lorsque l'entrée est située au sous-sol, la zone d'entrée avec les escaliers conduisant à l'étage supérieur, dans la mesure où le sous-sol n'abrite aucun local d'habitation et de travail au sens de l'article 63</w:t>
            </w:r>
            <w:r w:rsidR="00F07020" w:rsidRPr="00F07020">
              <w:rPr>
                <w:rFonts w:cs="Arial"/>
                <w:szCs w:val="22"/>
                <w:lang w:val="fr-CH" w:eastAsia="de-CH"/>
              </w:rPr>
              <w:t xml:space="preserve"> OC</w:t>
            </w:r>
            <w:r w:rsidRPr="00F07020">
              <w:rPr>
                <w:rFonts w:cs="Arial"/>
                <w:szCs w:val="22"/>
                <w:lang w:val="fr-CH" w:eastAsia="de-CH"/>
              </w:rPr>
              <w:t>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g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terrasses sur le toit ouvertes sur un côté au moins ou les coins-jardins offrant des places a</w:t>
            </w:r>
            <w:r w:rsidRPr="00F07020">
              <w:rPr>
                <w:rFonts w:cs="Arial"/>
                <w:szCs w:val="22"/>
                <w:lang w:val="fr-CH" w:eastAsia="de-CH"/>
              </w:rPr>
              <w:t>s</w:t>
            </w:r>
            <w:r w:rsidRPr="00F07020">
              <w:rPr>
                <w:rFonts w:cs="Arial"/>
                <w:szCs w:val="22"/>
                <w:lang w:val="fr-CH" w:eastAsia="de-CH"/>
              </w:rPr>
              <w:t xml:space="preserve">sises; 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h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balcons en saillie ou encastrés dans la f</w:t>
            </w:r>
            <w:r w:rsidRPr="00F07020">
              <w:rPr>
                <w:rFonts w:cs="Arial"/>
                <w:szCs w:val="22"/>
                <w:lang w:val="fr-CH" w:eastAsia="de-CH"/>
              </w:rPr>
              <w:t>a</w:t>
            </w:r>
            <w:r w:rsidRPr="00F07020">
              <w:rPr>
                <w:rFonts w:cs="Arial"/>
                <w:szCs w:val="22"/>
                <w:lang w:val="fr-CH" w:eastAsia="de-CH"/>
              </w:rPr>
              <w:t>çade qui sont communs à un étage, dans la m</w:t>
            </w:r>
            <w:r w:rsidRPr="00F07020">
              <w:rPr>
                <w:rFonts w:cs="Arial"/>
                <w:szCs w:val="22"/>
                <w:lang w:val="fr-CH" w:eastAsia="de-CH"/>
              </w:rPr>
              <w:t>e</w:t>
            </w:r>
            <w:r w:rsidRPr="00F07020">
              <w:rPr>
                <w:rFonts w:cs="Arial"/>
                <w:szCs w:val="22"/>
                <w:lang w:val="fr-CH" w:eastAsia="de-CH"/>
              </w:rPr>
              <w:t>sure où ils ne servent pas de galeries extérieures d'accès (unique) aux différents appartements;</w:t>
            </w:r>
          </w:p>
          <w:p w:rsidR="005E53DE" w:rsidRPr="00F07020" w:rsidRDefault="005E53DE" w:rsidP="000E1841">
            <w:pPr>
              <w:tabs>
                <w:tab w:val="left" w:pos="261"/>
              </w:tabs>
              <w:autoSpaceDE w:val="0"/>
              <w:autoSpaceDN w:val="0"/>
              <w:adjustRightInd w:val="0"/>
              <w:ind w:left="261" w:hanging="331"/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i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zCs w:val="22"/>
                <w:lang w:val="fr-CH" w:eastAsia="de-CH"/>
              </w:rPr>
              <w:t>les entrepôts artisanaux souterrains qui ne sont ni ouverts au public, ni dotés de places de travail;</w:t>
            </w:r>
          </w:p>
          <w:p w:rsidR="005E53DE" w:rsidRPr="00F07020" w:rsidRDefault="005E53DE" w:rsidP="000E1841">
            <w:pPr>
              <w:tabs>
                <w:tab w:val="left" w:pos="261"/>
              </w:tabs>
              <w:ind w:left="261" w:hanging="331"/>
              <w:rPr>
                <w:lang w:val="fr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k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spacing w:val="-4"/>
                <w:szCs w:val="22"/>
                <w:lang w:val="fr-CH" w:eastAsia="de-CH"/>
              </w:rPr>
              <w:t>dans les pièces mansardées, la surface au-dessus de laquelle la hauteur est inférieure à 1,5 m.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szCs w:val="18"/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Surface de terrain imputable (STI)</w:t>
            </w: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53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rFonts w:cs="Arial"/>
                <w:szCs w:val="22"/>
                <w:lang w:val="fr-CH" w:eastAsia="de-CH"/>
              </w:rPr>
            </w:pPr>
            <w:r w:rsidRPr="00F07020">
              <w:rPr>
                <w:rFonts w:cs="Arial"/>
                <w:szCs w:val="22"/>
                <w:lang w:val="fr-CH" w:eastAsia="de-CH"/>
              </w:rPr>
              <w:t>La surface de terrain imputable (STI) est égale à la surface des biens-fonds ou des parties de biens-fonds qui ont fait l'objet de la demande de permis de construire, mais qui n'ont pas encore été affe</w:t>
            </w:r>
            <w:r w:rsidRPr="00F07020">
              <w:rPr>
                <w:rFonts w:cs="Arial"/>
                <w:szCs w:val="22"/>
                <w:lang w:val="fr-CH" w:eastAsia="de-CH"/>
              </w:rPr>
              <w:t>c</w:t>
            </w:r>
            <w:r w:rsidRPr="00F07020">
              <w:rPr>
                <w:rFonts w:cs="Arial"/>
                <w:szCs w:val="22"/>
                <w:lang w:val="fr-CH" w:eastAsia="de-CH"/>
              </w:rPr>
              <w:t>tés à la construction. On y ajoute la surface des routes contiguës de l'équipement de détail, dans la mesure où elles ont été distraites du terrain à bâtir et si, au moment du dépôt de la demande de permis de construire, il ne s'est pas écoulé plus de dix ans depuis la distraction. Ne sont pas comptées:</w:t>
            </w:r>
          </w:p>
          <w:p w:rsidR="005E53DE" w:rsidRPr="00F07020" w:rsidRDefault="005E53DE" w:rsidP="000E1841">
            <w:pPr>
              <w:tabs>
                <w:tab w:val="left" w:pos="276"/>
              </w:tabs>
              <w:ind w:left="261" w:hanging="331"/>
              <w:rPr>
                <w:rFonts w:cs="Arial"/>
                <w:iCs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a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iCs/>
                <w:szCs w:val="22"/>
                <w:lang w:val="fr-CH" w:eastAsia="de-CH"/>
              </w:rPr>
              <w:t xml:space="preserve">la surface des routes de l'équipement de base qui est déterminée dans un plan de quartier ou </w:t>
            </w:r>
            <w:r w:rsidRPr="00F07020">
              <w:rPr>
                <w:rFonts w:cs="Arial"/>
                <w:iCs/>
                <w:szCs w:val="22"/>
                <w:lang w:val="fr-CH" w:eastAsia="de-CH"/>
              </w:rPr>
              <w:lastRenderedPageBreak/>
              <w:t>dans un plan de routes ou pour laquelle le plan correspondant a fait l'objet d'un dépôt public;</w:t>
            </w:r>
          </w:p>
          <w:p w:rsidR="005E53DE" w:rsidRPr="00F07020" w:rsidRDefault="005E53DE" w:rsidP="000E1841">
            <w:pPr>
              <w:tabs>
                <w:tab w:val="left" w:pos="276"/>
              </w:tabs>
              <w:ind w:left="261" w:hanging="331"/>
              <w:rPr>
                <w:rFonts w:cs="Arial"/>
                <w:iCs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b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iCs/>
                <w:szCs w:val="22"/>
                <w:lang w:val="fr-CH" w:eastAsia="de-CH"/>
              </w:rPr>
              <w:t>la forêt et les eaux;</w:t>
            </w:r>
          </w:p>
          <w:p w:rsidR="005E53DE" w:rsidRPr="00F07020" w:rsidRDefault="005E53DE" w:rsidP="000E1841">
            <w:pPr>
              <w:tabs>
                <w:tab w:val="left" w:pos="276"/>
              </w:tabs>
              <w:ind w:left="261" w:hanging="331"/>
              <w:rPr>
                <w:rFonts w:cs="Arial"/>
                <w:iCs/>
                <w:szCs w:val="22"/>
                <w:lang w:val="fr-CH" w:eastAsia="de-CH"/>
              </w:rPr>
            </w:pP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>c</w:t>
            </w:r>
            <w:r w:rsidRPr="00F07020">
              <w:rPr>
                <w:rFonts w:cs="Arial"/>
                <w:i/>
                <w:iCs/>
                <w:szCs w:val="22"/>
                <w:lang w:val="fr-CH" w:eastAsia="de-CH"/>
              </w:rPr>
              <w:tab/>
            </w:r>
            <w:r w:rsidRPr="00F07020">
              <w:rPr>
                <w:rFonts w:cs="Arial"/>
                <w:iCs/>
                <w:szCs w:val="22"/>
                <w:lang w:val="fr-CH" w:eastAsia="de-CH"/>
              </w:rPr>
              <w:t>les parties de biens-fonds attribuées à un autre mode d'affectation.</w:t>
            </w:r>
          </w:p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DB3969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 xml:space="preserve">Cf. </w:t>
            </w:r>
            <w:r w:rsidR="00DB3969" w:rsidRPr="00F07020">
              <w:rPr>
                <w:szCs w:val="18"/>
                <w:lang w:val="fr-CH"/>
              </w:rPr>
              <w:t>ancien a</w:t>
            </w:r>
            <w:r w:rsidRPr="00F07020">
              <w:rPr>
                <w:szCs w:val="18"/>
                <w:lang w:val="fr-CH"/>
              </w:rPr>
              <w:t>rticle 93, alinéa 3 OC; la surface déterminante des biens-fonds au sens de l'</w:t>
            </w:r>
            <w:r w:rsidR="00DB3969" w:rsidRPr="00F07020">
              <w:rPr>
                <w:szCs w:val="18"/>
                <w:lang w:val="fr-CH"/>
              </w:rPr>
              <w:t xml:space="preserve">ancien </w:t>
            </w:r>
            <w:r w:rsidRPr="00F07020">
              <w:rPr>
                <w:szCs w:val="18"/>
                <w:lang w:val="fr-CH"/>
              </w:rPr>
              <w:t>article 96, alinéa 2 OC corre</w:t>
            </w:r>
            <w:r w:rsidRPr="00F07020">
              <w:rPr>
                <w:szCs w:val="18"/>
                <w:lang w:val="fr-CH"/>
              </w:rPr>
              <w:t>s</w:t>
            </w:r>
            <w:r w:rsidRPr="00F07020">
              <w:rPr>
                <w:szCs w:val="18"/>
                <w:lang w:val="fr-CH"/>
              </w:rPr>
              <w:t>pond à la surface de terrain imputable.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Les zones de verdure qui sont destinées à maint</w:t>
            </w:r>
            <w:r w:rsidRPr="00F07020">
              <w:rPr>
                <w:lang w:val="fr-CH"/>
              </w:rPr>
              <w:t>e</w:t>
            </w:r>
            <w:r w:rsidRPr="00F07020">
              <w:rPr>
                <w:lang w:val="fr-CH"/>
              </w:rPr>
              <w:t>nir des espaces exempts de constructions sont prises en compte.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Indice de surface bâtie (ISB)</w:t>
            </w: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7B6A70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</w:t>
            </w:r>
            <w:r w:rsidR="007B6A70" w:rsidRPr="00F07020">
              <w:rPr>
                <w:b/>
                <w:lang w:val="fr-CH"/>
              </w:rPr>
              <w:t>5</w:t>
            </w:r>
            <w:r w:rsidRPr="00F07020">
              <w:rPr>
                <w:b/>
                <w:lang w:val="fr-CH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E0654B">
            <w:pPr>
              <w:rPr>
                <w:lang w:val="fr-CH"/>
              </w:rPr>
            </w:pPr>
            <w:r w:rsidRPr="00F07020">
              <w:rPr>
                <w:lang w:val="fr-CH"/>
              </w:rPr>
              <w:t>L'indice de surface bâtie (ISB) indique quelle partie d'un bien-fonds peut être construite au-dessus du sol (y compris les bâtiments attenants et annexes). Il peut être déterminé séparément pour les bât</w:t>
            </w:r>
            <w:r w:rsidRPr="00F07020">
              <w:rPr>
                <w:lang w:val="fr-CH"/>
              </w:rPr>
              <w:t>i</w:t>
            </w:r>
            <w:r w:rsidRPr="00F07020">
              <w:rPr>
                <w:lang w:val="fr-CH"/>
              </w:rPr>
              <w:t>ments principaux et pour les annexes</w:t>
            </w:r>
            <w:r w:rsidR="00E0654B" w:rsidRPr="00F07020">
              <w:rPr>
                <w:lang w:val="fr-CH"/>
              </w:rPr>
              <w:t xml:space="preserve"> </w:t>
            </w:r>
            <w:r w:rsidRPr="00F07020">
              <w:rPr>
                <w:lang w:val="fr-CH"/>
              </w:rPr>
              <w:t>est défini par l'ordonnance sur les constructions.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 xml:space="preserve">Cf. </w:t>
            </w:r>
            <w:r w:rsidR="00DB3969" w:rsidRPr="00F07020">
              <w:rPr>
                <w:sz w:val="18"/>
                <w:szCs w:val="18"/>
                <w:lang w:val="fr-CH"/>
              </w:rPr>
              <w:t xml:space="preserve">ancien </w:t>
            </w:r>
            <w:r w:rsidRPr="00F07020">
              <w:rPr>
                <w:sz w:val="18"/>
                <w:szCs w:val="18"/>
                <w:lang w:val="fr-CH"/>
              </w:rPr>
              <w:t>article 96 OC.</w:t>
            </w:r>
          </w:p>
          <w:p w:rsidR="005E53DE" w:rsidRPr="00F07020" w:rsidRDefault="005E53DE" w:rsidP="000A5AC4">
            <w:pPr>
              <w:tabs>
                <w:tab w:val="left" w:pos="503"/>
                <w:tab w:val="left" w:pos="1010"/>
                <w:tab w:val="left" w:pos="2128"/>
              </w:tabs>
              <w:rPr>
                <w:sz w:val="18"/>
                <w:szCs w:val="18"/>
                <w:u w:val="single"/>
                <w:lang w:val="fr-CH"/>
              </w:rPr>
            </w:pPr>
            <w:r w:rsidRPr="00F07020">
              <w:rPr>
                <w:sz w:val="18"/>
                <w:szCs w:val="18"/>
                <w:lang w:val="fr-CH"/>
              </w:rPr>
              <w:t>ISB</w:t>
            </w:r>
            <w:r w:rsidRPr="00F07020">
              <w:rPr>
                <w:sz w:val="18"/>
                <w:szCs w:val="18"/>
                <w:lang w:val="fr-CH"/>
              </w:rPr>
              <w:tab/>
              <w:t>=</w:t>
            </w:r>
            <w:r w:rsidRPr="00F07020">
              <w:rPr>
                <w:sz w:val="18"/>
                <w:szCs w:val="18"/>
                <w:lang w:val="fr-CH"/>
              </w:rPr>
              <w:tab/>
            </w:r>
            <w:r w:rsidRPr="00F07020">
              <w:rPr>
                <w:sz w:val="18"/>
                <w:szCs w:val="18"/>
                <w:u w:val="single"/>
                <w:lang w:val="fr-CH"/>
              </w:rPr>
              <w:t>SBI</w:t>
            </w:r>
          </w:p>
          <w:p w:rsidR="005E53DE" w:rsidRPr="00F07020" w:rsidRDefault="005E53DE" w:rsidP="000A5AC4">
            <w:pPr>
              <w:pStyle w:val="Standard9"/>
              <w:tabs>
                <w:tab w:val="left" w:pos="1010"/>
              </w:tabs>
              <w:rPr>
                <w:szCs w:val="18"/>
                <w:lang w:val="fr-CH"/>
              </w:rPr>
            </w:pPr>
            <w:r w:rsidRPr="00F07020">
              <w:rPr>
                <w:szCs w:val="18"/>
                <w:lang w:val="fr-CH"/>
              </w:rPr>
              <w:tab/>
              <w:t>STI</w:t>
            </w:r>
          </w:p>
          <w:p w:rsidR="005E53DE" w:rsidRPr="00F07020" w:rsidRDefault="005E53DE" w:rsidP="000A5AC4">
            <w:pPr>
              <w:pStyle w:val="Standard9"/>
              <w:tabs>
                <w:tab w:val="left" w:pos="1010"/>
              </w:tabs>
              <w:rPr>
                <w:szCs w:val="18"/>
                <w:lang w:val="fr-CH"/>
              </w:rPr>
            </w:pPr>
          </w:p>
          <w:p w:rsidR="005E53DE" w:rsidRPr="00F07020" w:rsidRDefault="005E53DE" w:rsidP="000A5AC4">
            <w:pPr>
              <w:pStyle w:val="Standard9"/>
              <w:tabs>
                <w:tab w:val="left" w:pos="1010"/>
              </w:tabs>
              <w:rPr>
                <w:szCs w:val="18"/>
                <w:lang w:val="fr-CH"/>
              </w:rPr>
            </w:pPr>
          </w:p>
          <w:p w:rsidR="005E53DE" w:rsidRPr="00F07020" w:rsidRDefault="005E53DE" w:rsidP="000A5AC4">
            <w:pPr>
              <w:pStyle w:val="Standard9"/>
              <w:tabs>
                <w:tab w:val="left" w:pos="1010"/>
              </w:tabs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>La surface déterminante du bien-fonds correspond à la surface de terrain imputable. Cf. A143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12329E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  <w:r w:rsidRPr="00F07020">
              <w:rPr>
                <w:lang w:val="fr-CH"/>
              </w:rPr>
              <w:t>La surface déterminante du bien-fonds est calculée conformément à l'article 93, alinéa 3 OC.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12329E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12329E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12329E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  <w:r w:rsidRPr="00F07020">
              <w:rPr>
                <w:lang w:val="fr-CH"/>
              </w:rPr>
              <w:t>3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12329E">
            <w:pPr>
              <w:rPr>
                <w:spacing w:val="-2"/>
                <w:szCs w:val="22"/>
                <w:lang w:val="fr-CH"/>
              </w:rPr>
            </w:pPr>
            <w:r w:rsidRPr="00F07020">
              <w:rPr>
                <w:spacing w:val="-2"/>
                <w:szCs w:val="22"/>
                <w:lang w:val="fr-CH"/>
              </w:rPr>
              <w:t>Les parties de biens-fonds comportant des bâtiments souterrains sont réputées non bâties dans la mesure où les bâtiments n'affleurent pas et où on ne r</w:t>
            </w:r>
            <w:r w:rsidRPr="00F07020">
              <w:rPr>
                <w:spacing w:val="-2"/>
                <w:szCs w:val="22"/>
                <w:lang w:val="fr-CH"/>
              </w:rPr>
              <w:t>e</w:t>
            </w:r>
            <w:r w:rsidRPr="00F07020">
              <w:rPr>
                <w:spacing w:val="-2"/>
                <w:szCs w:val="22"/>
                <w:lang w:val="fr-CH"/>
              </w:rPr>
              <w:t>marque essentiellement que leur accès et leur e</w:t>
            </w:r>
            <w:r w:rsidRPr="00F07020">
              <w:rPr>
                <w:spacing w:val="-2"/>
                <w:szCs w:val="22"/>
                <w:lang w:val="fr-CH"/>
              </w:rPr>
              <w:t>n</w:t>
            </w:r>
            <w:r w:rsidRPr="00F07020">
              <w:rPr>
                <w:spacing w:val="-2"/>
                <w:szCs w:val="22"/>
                <w:lang w:val="fr-CH"/>
              </w:rPr>
              <w:t>trée.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12329E">
            <w:pPr>
              <w:tabs>
                <w:tab w:val="left" w:pos="2128"/>
              </w:tabs>
              <w:rPr>
                <w:sz w:val="18"/>
                <w:szCs w:val="18"/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12329E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spacing w:val="-2"/>
                <w:szCs w:val="22"/>
                <w:lang w:val="fr-CH"/>
              </w:rPr>
            </w:pPr>
            <w:r w:rsidRPr="00F07020">
              <w:rPr>
                <w:b/>
                <w:spacing w:val="-2"/>
                <w:szCs w:val="22"/>
                <w:lang w:val="fr-CH"/>
              </w:rPr>
              <w:t>Surface de bâtiment imputable (SBI)</w:t>
            </w: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7B6A70" w:rsidP="000A5AC4">
            <w:pPr>
              <w:rPr>
                <w:b/>
                <w:lang w:val="fr-CH"/>
              </w:rPr>
            </w:pPr>
            <w:r w:rsidRPr="00F07020">
              <w:rPr>
                <w:b/>
                <w:lang w:val="fr-CH"/>
              </w:rPr>
              <w:t>A15</w:t>
            </w:r>
            <w:r w:rsidR="005E53DE" w:rsidRPr="00F07020">
              <w:rPr>
                <w:b/>
                <w:lang w:val="fr-CH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1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La surface de bâtiment imputable (SBI) est définie par l'ordonnance sur les constructions.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  <w:r w:rsidRPr="00F07020">
              <w:rPr>
                <w:szCs w:val="18"/>
                <w:lang w:val="fr-CH"/>
              </w:rPr>
              <w:t xml:space="preserve">Cf. </w:t>
            </w:r>
            <w:r w:rsidR="00DB3969" w:rsidRPr="00F07020">
              <w:rPr>
                <w:szCs w:val="18"/>
                <w:lang w:val="fr-CH"/>
              </w:rPr>
              <w:t xml:space="preserve">ancien </w:t>
            </w:r>
            <w:r w:rsidRPr="00F07020">
              <w:rPr>
                <w:szCs w:val="18"/>
                <w:lang w:val="fr-CH"/>
              </w:rPr>
              <w:t>article 96, alinéas 1 et 3 OC.</w:t>
            </w: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2</w:t>
            </w: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  <w:r w:rsidRPr="00F07020">
              <w:rPr>
                <w:lang w:val="fr-CH"/>
              </w:rPr>
              <w:t>Les avant-toits respectant la profondeur autorisée ne sont pas pris en compte.</w:t>
            </w: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  <w:tr w:rsidR="005E53DE" w:rsidRPr="00F07020">
        <w:trPr>
          <w:trHeight w:val="203"/>
        </w:trPr>
        <w:tc>
          <w:tcPr>
            <w:tcW w:w="223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720" w:type="dxa"/>
            <w:shd w:val="clear" w:color="auto" w:fill="auto"/>
          </w:tcPr>
          <w:p w:rsidR="005E53DE" w:rsidRPr="00F07020" w:rsidRDefault="005E53DE" w:rsidP="000A5AC4">
            <w:pPr>
              <w:rPr>
                <w:b/>
                <w:lang w:val="fr-CH"/>
              </w:rPr>
            </w:pPr>
          </w:p>
        </w:tc>
        <w:tc>
          <w:tcPr>
            <w:tcW w:w="54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3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350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  <w:tc>
          <w:tcPr>
            <w:tcW w:w="5220" w:type="dxa"/>
            <w:shd w:val="clear" w:color="auto" w:fill="auto"/>
          </w:tcPr>
          <w:p w:rsidR="005E53DE" w:rsidRPr="00F07020" w:rsidRDefault="005E53DE" w:rsidP="000A5AC4">
            <w:pPr>
              <w:pStyle w:val="Standard9"/>
              <w:rPr>
                <w:lang w:val="fr-CH"/>
              </w:rPr>
            </w:pPr>
          </w:p>
        </w:tc>
        <w:tc>
          <w:tcPr>
            <w:tcW w:w="864" w:type="dxa"/>
            <w:shd w:val="clear" w:color="auto" w:fill="auto"/>
          </w:tcPr>
          <w:p w:rsidR="005E53DE" w:rsidRPr="00F07020" w:rsidRDefault="005E53DE" w:rsidP="000A5AC4">
            <w:pPr>
              <w:rPr>
                <w:lang w:val="fr-CH"/>
              </w:rPr>
            </w:pPr>
          </w:p>
        </w:tc>
      </w:tr>
    </w:tbl>
    <w:p w:rsidR="00AB5F3F" w:rsidRPr="00F07020" w:rsidRDefault="00AB5F3F">
      <w:pPr>
        <w:rPr>
          <w:lang w:val="fr-CH"/>
        </w:rPr>
      </w:pPr>
    </w:p>
    <w:sectPr w:rsidR="00AB5F3F" w:rsidRPr="00F07020" w:rsidSect="000701FF">
      <w:headerReference w:type="even" r:id="rId12"/>
      <w:headerReference w:type="default" r:id="rId13"/>
      <w:pgSz w:w="16843" w:h="11899" w:orient="landscape"/>
      <w:pgMar w:top="1021" w:right="567" w:bottom="794" w:left="851" w:header="1021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A5" w:rsidRDefault="00FC24A5">
      <w:r>
        <w:separator/>
      </w:r>
    </w:p>
  </w:endnote>
  <w:endnote w:type="continuationSeparator" w:id="0">
    <w:p w:rsidR="00FC24A5" w:rsidRDefault="00FC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A5" w:rsidRDefault="00FC24A5">
      <w:r>
        <w:separator/>
      </w:r>
    </w:p>
  </w:footnote>
  <w:footnote w:type="continuationSeparator" w:id="0">
    <w:p w:rsidR="00FC24A5" w:rsidRDefault="00FC2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8" w:rsidRDefault="00C33E08"/>
  <w:p w:rsidR="00C33E08" w:rsidRDefault="00C33E08"/>
  <w:p w:rsidR="00C33E08" w:rsidRDefault="00C33E08"/>
  <w:p w:rsidR="00C33E08" w:rsidRDefault="00C33E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8" w:rsidRPr="00B15B86" w:rsidRDefault="00C33E08" w:rsidP="00BD3F51">
    <w:pPr>
      <w:pStyle w:val="Standard9"/>
      <w:tabs>
        <w:tab w:val="right" w:pos="15480"/>
      </w:tabs>
      <w:rPr>
        <w:lang w:val="fr-FR"/>
      </w:rPr>
    </w:pPr>
    <w:r>
      <w:rPr>
        <w:lang w:val="fr-CH"/>
      </w:rPr>
      <w:t xml:space="preserve">Commune municipale de </w:t>
    </w:r>
    <w:r w:rsidRPr="00140C01">
      <w:rPr>
        <w:i/>
        <w:lang w:val="fr-CH"/>
      </w:rPr>
      <w:t>Régulix</w:t>
    </w:r>
    <w:r>
      <w:rPr>
        <w:lang w:val="fr-CH"/>
      </w:rPr>
      <w:t xml:space="preserve"> </w:t>
    </w:r>
    <w:r w:rsidRPr="00140C01">
      <w:rPr>
        <w:lang w:val="fr-CH"/>
      </w:rPr>
      <w:t xml:space="preserve">– </w:t>
    </w:r>
    <w:r>
      <w:rPr>
        <w:lang w:val="fr-CH"/>
      </w:rPr>
      <w:t>Règlement de construction (RC)</w:t>
    </w:r>
    <w:r w:rsidRPr="00B15B86">
      <w:rPr>
        <w:lang w:val="fr-FR"/>
      </w:rPr>
      <w:tab/>
    </w:r>
    <w:r>
      <w:fldChar w:fldCharType="begin"/>
    </w:r>
    <w:r w:rsidRPr="00B15B86">
      <w:rPr>
        <w:lang w:val="fr-FR"/>
      </w:rPr>
      <w:instrText xml:space="preserve"> </w:instrText>
    </w:r>
    <w:r>
      <w:rPr>
        <w:lang w:val="fr-FR"/>
      </w:rPr>
      <w:instrText>PAGE</w:instrText>
    </w:r>
    <w:r w:rsidRPr="00B15B86">
      <w:rPr>
        <w:lang w:val="fr-FR"/>
      </w:rPr>
      <w:instrText xml:space="preserve"> </w:instrText>
    </w:r>
    <w:r>
      <w:fldChar w:fldCharType="separate"/>
    </w:r>
    <w:r w:rsidR="00F7290F">
      <w:rPr>
        <w:noProof/>
        <w:lang w:val="fr-FR"/>
      </w:rPr>
      <w:t>1</w:t>
    </w:r>
    <w:r>
      <w:fldChar w:fldCharType="end"/>
    </w:r>
  </w:p>
  <w:p w:rsidR="00C33E08" w:rsidRDefault="00C33E08" w:rsidP="00BD3F51">
    <w:pPr>
      <w:rPr>
        <w:lang w:val="fr-FR"/>
      </w:rPr>
    </w:pPr>
  </w:p>
  <w:p w:rsidR="00C33E08" w:rsidRPr="00B15B86" w:rsidRDefault="00C33E08" w:rsidP="00BD3F51">
    <w:pPr>
      <w:rPr>
        <w:lang w:val="fr-FR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230"/>
      <w:gridCol w:w="360"/>
      <w:gridCol w:w="720"/>
      <w:gridCol w:w="540"/>
      <w:gridCol w:w="5224"/>
      <w:gridCol w:w="356"/>
      <w:gridCol w:w="5220"/>
      <w:gridCol w:w="900"/>
    </w:tblGrid>
    <w:tr w:rsidR="00C33E08" w:rsidRPr="00B15B86">
      <w:trPr>
        <w:trHeight w:val="203"/>
      </w:trPr>
      <w:tc>
        <w:tcPr>
          <w:tcW w:w="2230" w:type="dxa"/>
        </w:tcPr>
        <w:p w:rsidR="00C33E08" w:rsidRDefault="00C33E08" w:rsidP="00BD3F51">
          <w:pPr>
            <w:pStyle w:val="Standard9"/>
          </w:pPr>
          <w:r>
            <w:t>Titre marginal</w:t>
          </w:r>
        </w:p>
      </w:tc>
      <w:tc>
        <w:tcPr>
          <w:tcW w:w="360" w:type="dxa"/>
        </w:tcPr>
        <w:p w:rsidR="00C33E08" w:rsidRDefault="00C33E08" w:rsidP="00BD3F51">
          <w:pPr>
            <w:pStyle w:val="Standard9"/>
          </w:pPr>
        </w:p>
      </w:tc>
      <w:tc>
        <w:tcPr>
          <w:tcW w:w="720" w:type="dxa"/>
        </w:tcPr>
        <w:p w:rsidR="00C33E08" w:rsidRDefault="00C33E08" w:rsidP="00BD3F51">
          <w:pPr>
            <w:pStyle w:val="Standard9"/>
          </w:pPr>
          <w:r>
            <w:t>Article</w:t>
          </w:r>
        </w:p>
        <w:p w:rsidR="00C33E08" w:rsidRDefault="00C33E08" w:rsidP="00BD3F51">
          <w:pPr>
            <w:pStyle w:val="Standard9"/>
          </w:pPr>
        </w:p>
      </w:tc>
      <w:tc>
        <w:tcPr>
          <w:tcW w:w="540" w:type="dxa"/>
        </w:tcPr>
        <w:p w:rsidR="00C33E08" w:rsidRDefault="00C33E08" w:rsidP="00BD3F51">
          <w:pPr>
            <w:pStyle w:val="Standard9"/>
          </w:pPr>
        </w:p>
      </w:tc>
      <w:tc>
        <w:tcPr>
          <w:tcW w:w="5224" w:type="dxa"/>
        </w:tcPr>
        <w:p w:rsidR="00C33E08" w:rsidRDefault="00C33E08" w:rsidP="00BD3F51">
          <w:pPr>
            <w:pStyle w:val="Standard9"/>
          </w:pPr>
          <w:r>
            <w:t>Contenu normatif</w:t>
          </w:r>
        </w:p>
      </w:tc>
      <w:tc>
        <w:tcPr>
          <w:tcW w:w="356" w:type="dxa"/>
        </w:tcPr>
        <w:p w:rsidR="00C33E08" w:rsidRDefault="00C33E08" w:rsidP="00BD3F51">
          <w:pPr>
            <w:pStyle w:val="Standard9"/>
          </w:pPr>
        </w:p>
      </w:tc>
      <w:tc>
        <w:tcPr>
          <w:tcW w:w="5220" w:type="dxa"/>
        </w:tcPr>
        <w:p w:rsidR="00C33E08" w:rsidRDefault="00C33E08" w:rsidP="00BD3F51">
          <w:pPr>
            <w:pStyle w:val="Standard9"/>
          </w:pPr>
          <w:r>
            <w:t>Indications</w:t>
          </w:r>
        </w:p>
      </w:tc>
      <w:tc>
        <w:tcPr>
          <w:tcW w:w="900" w:type="dxa"/>
        </w:tcPr>
        <w:p w:rsidR="00C33E08" w:rsidRDefault="00C33E08" w:rsidP="00BD3F51"/>
      </w:tc>
    </w:tr>
  </w:tbl>
  <w:p w:rsidR="00C33E08" w:rsidRPr="00B15B86" w:rsidRDefault="00C33E08" w:rsidP="00BD3F51">
    <w:pPr>
      <w:rPr>
        <w:lang w:val="fr-FR"/>
      </w:rPr>
    </w:pPr>
  </w:p>
  <w:p w:rsidR="00C33E08" w:rsidRPr="0040053A" w:rsidRDefault="00C33E08" w:rsidP="00BD3F5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EC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BADF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650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A04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B46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242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AEB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020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6B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CA1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>
    <w:nsid w:val="020F294D"/>
    <w:multiLevelType w:val="hybridMultilevel"/>
    <w:tmpl w:val="F1BA240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C751D0"/>
    <w:multiLevelType w:val="hybridMultilevel"/>
    <w:tmpl w:val="DCD0C050"/>
    <w:lvl w:ilvl="0" w:tplc="19C88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7F4738"/>
    <w:multiLevelType w:val="hybridMultilevel"/>
    <w:tmpl w:val="06BE107A"/>
    <w:lvl w:ilvl="0" w:tplc="C8F0265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E75F28"/>
    <w:multiLevelType w:val="hybridMultilevel"/>
    <w:tmpl w:val="7A06AB3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563CDA"/>
    <w:multiLevelType w:val="hybridMultilevel"/>
    <w:tmpl w:val="89B0D03E"/>
    <w:lvl w:ilvl="0" w:tplc="1090A35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9D60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4B4151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>
    <w:nsid w:val="3C636CC8"/>
    <w:multiLevelType w:val="hybridMultilevel"/>
    <w:tmpl w:val="EE4EEBB0"/>
    <w:lvl w:ilvl="0" w:tplc="90A22092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9869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E35AE0"/>
    <w:multiLevelType w:val="hybridMultilevel"/>
    <w:tmpl w:val="A990A73C"/>
    <w:lvl w:ilvl="0" w:tplc="78B8AC4E">
      <w:start w:val="2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17D54"/>
    <w:multiLevelType w:val="hybridMultilevel"/>
    <w:tmpl w:val="1AB4D974"/>
    <w:lvl w:ilvl="0" w:tplc="B754959E">
      <w:start w:val="2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>
    <w:nsid w:val="47C87F5A"/>
    <w:multiLevelType w:val="hybridMultilevel"/>
    <w:tmpl w:val="E8EC4EC6"/>
    <w:lvl w:ilvl="0" w:tplc="9ED4A07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629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1747D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2A233CB"/>
    <w:multiLevelType w:val="hybridMultilevel"/>
    <w:tmpl w:val="8480BF28"/>
    <w:lvl w:ilvl="0" w:tplc="68CCB4C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7F5659"/>
    <w:multiLevelType w:val="hybridMultilevel"/>
    <w:tmpl w:val="A7D4E2BE"/>
    <w:lvl w:ilvl="0" w:tplc="1090A35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DD351A"/>
    <w:multiLevelType w:val="multilevel"/>
    <w:tmpl w:val="E8EC4EC6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DE5274"/>
    <w:multiLevelType w:val="multilevel"/>
    <w:tmpl w:val="7A0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F61B14"/>
    <w:multiLevelType w:val="hybridMultilevel"/>
    <w:tmpl w:val="23FE35D8"/>
    <w:lvl w:ilvl="0" w:tplc="38F8CBD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956BF"/>
    <w:multiLevelType w:val="hybridMultilevel"/>
    <w:tmpl w:val="64021AB8"/>
    <w:lvl w:ilvl="0" w:tplc="77CE8356">
      <w:start w:val="1"/>
      <w:numFmt w:val="bullet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F55A0"/>
    <w:multiLevelType w:val="hybridMultilevel"/>
    <w:tmpl w:val="2156582A"/>
    <w:lvl w:ilvl="0" w:tplc="1090A35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D71B15"/>
    <w:multiLevelType w:val="hybridMultilevel"/>
    <w:tmpl w:val="2B06CC12"/>
    <w:lvl w:ilvl="0" w:tplc="EF68F91C">
      <w:start w:val="5"/>
      <w:numFmt w:val="bullet"/>
      <w:lvlText w:val="–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4C7BA5"/>
    <w:multiLevelType w:val="hybridMultilevel"/>
    <w:tmpl w:val="7864F646"/>
    <w:lvl w:ilvl="0" w:tplc="2558FAD8">
      <w:start w:val="1"/>
      <w:numFmt w:val="bullet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B96C22"/>
    <w:multiLevelType w:val="hybridMultilevel"/>
    <w:tmpl w:val="3E6ACD42"/>
    <w:lvl w:ilvl="0" w:tplc="67F6AE00">
      <w:start w:val="1"/>
      <w:numFmt w:val="bullet"/>
      <w:lvlText w:val="-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5E0ECB"/>
    <w:multiLevelType w:val="hybridMultilevel"/>
    <w:tmpl w:val="4AC861A4"/>
    <w:lvl w:ilvl="0" w:tplc="6DB070BC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F3718F"/>
    <w:multiLevelType w:val="hybridMultilevel"/>
    <w:tmpl w:val="BB1CBD1E"/>
    <w:lvl w:ilvl="0" w:tplc="C8F0265A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7"/>
  </w:num>
  <w:num w:numId="4">
    <w:abstractNumId w:val="31"/>
  </w:num>
  <w:num w:numId="5">
    <w:abstractNumId w:val="26"/>
  </w:num>
  <w:num w:numId="6">
    <w:abstractNumId w:val="15"/>
  </w:num>
  <w:num w:numId="7">
    <w:abstractNumId w:val="33"/>
  </w:num>
  <w:num w:numId="8">
    <w:abstractNumId w:val="13"/>
  </w:num>
  <w:num w:numId="9">
    <w:abstractNumId w:val="36"/>
  </w:num>
  <w:num w:numId="10">
    <w:abstractNumId w:val="12"/>
  </w:num>
  <w:num w:numId="11">
    <w:abstractNumId w:val="30"/>
  </w:num>
  <w:num w:numId="12">
    <w:abstractNumId w:val="35"/>
  </w:num>
  <w:num w:numId="13">
    <w:abstractNumId w:val="23"/>
  </w:num>
  <w:num w:numId="14">
    <w:abstractNumId w:val="16"/>
  </w:num>
  <w:num w:numId="15">
    <w:abstractNumId w:val="17"/>
  </w:num>
  <w:num w:numId="16">
    <w:abstractNumId w:val="19"/>
  </w:num>
  <w:num w:numId="17">
    <w:abstractNumId w:val="24"/>
  </w:num>
  <w:num w:numId="18">
    <w:abstractNumId w:val="21"/>
  </w:num>
  <w:num w:numId="19">
    <w:abstractNumId w:val="11"/>
  </w:num>
  <w:num w:numId="20">
    <w:abstractNumId w:val="25"/>
  </w:num>
  <w:num w:numId="21">
    <w:abstractNumId w:val="14"/>
  </w:num>
  <w:num w:numId="22">
    <w:abstractNumId w:val="28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8"/>
  </w:num>
  <w:num w:numId="34">
    <w:abstractNumId w:val="34"/>
  </w:num>
  <w:num w:numId="35">
    <w:abstractNumId w:val="29"/>
  </w:num>
  <w:num w:numId="36">
    <w:abstractNumId w:val="3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25"/>
    <w:rsid w:val="000008BD"/>
    <w:rsid w:val="00022BFF"/>
    <w:rsid w:val="00034CCF"/>
    <w:rsid w:val="000701FF"/>
    <w:rsid w:val="000713D0"/>
    <w:rsid w:val="00076345"/>
    <w:rsid w:val="000851AC"/>
    <w:rsid w:val="000A5AC4"/>
    <w:rsid w:val="000E1841"/>
    <w:rsid w:val="00105FE0"/>
    <w:rsid w:val="0011065D"/>
    <w:rsid w:val="0012329E"/>
    <w:rsid w:val="00146671"/>
    <w:rsid w:val="00160980"/>
    <w:rsid w:val="001737DC"/>
    <w:rsid w:val="001779CB"/>
    <w:rsid w:val="00182B10"/>
    <w:rsid w:val="001C612D"/>
    <w:rsid w:val="001F2D75"/>
    <w:rsid w:val="00203E25"/>
    <w:rsid w:val="00221086"/>
    <w:rsid w:val="002213E4"/>
    <w:rsid w:val="00222A67"/>
    <w:rsid w:val="00231769"/>
    <w:rsid w:val="00245994"/>
    <w:rsid w:val="002608CC"/>
    <w:rsid w:val="002658A3"/>
    <w:rsid w:val="0027171F"/>
    <w:rsid w:val="00277260"/>
    <w:rsid w:val="002818C8"/>
    <w:rsid w:val="002A106C"/>
    <w:rsid w:val="002A137E"/>
    <w:rsid w:val="003116A1"/>
    <w:rsid w:val="00393ADB"/>
    <w:rsid w:val="00405073"/>
    <w:rsid w:val="00433C72"/>
    <w:rsid w:val="004346DD"/>
    <w:rsid w:val="0043710D"/>
    <w:rsid w:val="0046019F"/>
    <w:rsid w:val="00487693"/>
    <w:rsid w:val="004A4FB3"/>
    <w:rsid w:val="00510312"/>
    <w:rsid w:val="0051202A"/>
    <w:rsid w:val="00517F43"/>
    <w:rsid w:val="00536261"/>
    <w:rsid w:val="00550EB1"/>
    <w:rsid w:val="00563C7F"/>
    <w:rsid w:val="005640AC"/>
    <w:rsid w:val="0059762E"/>
    <w:rsid w:val="005A2659"/>
    <w:rsid w:val="005A4358"/>
    <w:rsid w:val="005A50C6"/>
    <w:rsid w:val="005D2717"/>
    <w:rsid w:val="005E53DE"/>
    <w:rsid w:val="00605902"/>
    <w:rsid w:val="00651F52"/>
    <w:rsid w:val="006D608D"/>
    <w:rsid w:val="006E3424"/>
    <w:rsid w:val="00706695"/>
    <w:rsid w:val="00711B86"/>
    <w:rsid w:val="00732F75"/>
    <w:rsid w:val="007338BB"/>
    <w:rsid w:val="0077535A"/>
    <w:rsid w:val="00790676"/>
    <w:rsid w:val="007B6A70"/>
    <w:rsid w:val="007B6D8C"/>
    <w:rsid w:val="007C271C"/>
    <w:rsid w:val="007F1AD1"/>
    <w:rsid w:val="007F251E"/>
    <w:rsid w:val="00813112"/>
    <w:rsid w:val="00826B20"/>
    <w:rsid w:val="0090495E"/>
    <w:rsid w:val="00946EC9"/>
    <w:rsid w:val="00961BDF"/>
    <w:rsid w:val="009B6BD8"/>
    <w:rsid w:val="009F177B"/>
    <w:rsid w:val="009F5CE1"/>
    <w:rsid w:val="00A30F90"/>
    <w:rsid w:val="00A36174"/>
    <w:rsid w:val="00A812CB"/>
    <w:rsid w:val="00A90426"/>
    <w:rsid w:val="00AB5F3F"/>
    <w:rsid w:val="00AD5059"/>
    <w:rsid w:val="00AD681F"/>
    <w:rsid w:val="00B023E7"/>
    <w:rsid w:val="00B56EEF"/>
    <w:rsid w:val="00B609F9"/>
    <w:rsid w:val="00B73F17"/>
    <w:rsid w:val="00BD3F51"/>
    <w:rsid w:val="00C14533"/>
    <w:rsid w:val="00C15031"/>
    <w:rsid w:val="00C170CD"/>
    <w:rsid w:val="00C33E08"/>
    <w:rsid w:val="00C51FFA"/>
    <w:rsid w:val="00C56962"/>
    <w:rsid w:val="00C66718"/>
    <w:rsid w:val="00C771A0"/>
    <w:rsid w:val="00C81590"/>
    <w:rsid w:val="00CC7B01"/>
    <w:rsid w:val="00CE386F"/>
    <w:rsid w:val="00CF3490"/>
    <w:rsid w:val="00D05F26"/>
    <w:rsid w:val="00D21E7F"/>
    <w:rsid w:val="00D60F0D"/>
    <w:rsid w:val="00DB040B"/>
    <w:rsid w:val="00DB3969"/>
    <w:rsid w:val="00DC0C7D"/>
    <w:rsid w:val="00DC223C"/>
    <w:rsid w:val="00DF0338"/>
    <w:rsid w:val="00DF1467"/>
    <w:rsid w:val="00E0434A"/>
    <w:rsid w:val="00E0654B"/>
    <w:rsid w:val="00E26ED2"/>
    <w:rsid w:val="00E3781A"/>
    <w:rsid w:val="00E51394"/>
    <w:rsid w:val="00ED4A79"/>
    <w:rsid w:val="00F03D8D"/>
    <w:rsid w:val="00F07020"/>
    <w:rsid w:val="00F14571"/>
    <w:rsid w:val="00F41995"/>
    <w:rsid w:val="00F7290F"/>
    <w:rsid w:val="00FC24A5"/>
    <w:rsid w:val="00FD521B"/>
    <w:rsid w:val="00FD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E25"/>
    <w:rPr>
      <w:rFonts w:ascii="Arial" w:hAnsi="Arial"/>
      <w:sz w:val="22"/>
      <w:lang w:val="de-CH" w:eastAsia="de-DE"/>
    </w:rPr>
  </w:style>
  <w:style w:type="paragraph" w:styleId="Titre1">
    <w:name w:val="heading 1"/>
    <w:basedOn w:val="Normal"/>
    <w:qFormat/>
    <w:rsid w:val="00203E25"/>
    <w:pPr>
      <w:keepNext/>
      <w:tabs>
        <w:tab w:val="left" w:pos="709"/>
        <w:tab w:val="left" w:pos="1827"/>
        <w:tab w:val="right" w:pos="5382"/>
      </w:tabs>
      <w:outlineLvl w:val="0"/>
    </w:pPr>
    <w:rPr>
      <w:b/>
      <w:bCs/>
      <w:kern w:val="28"/>
    </w:rPr>
  </w:style>
  <w:style w:type="paragraph" w:styleId="Titre2">
    <w:name w:val="heading 2"/>
    <w:basedOn w:val="Normal"/>
    <w:qFormat/>
    <w:rsid w:val="00203E25"/>
    <w:pPr>
      <w:keepNext/>
      <w:tabs>
        <w:tab w:val="left" w:pos="567"/>
        <w:tab w:val="right" w:pos="765"/>
        <w:tab w:val="left" w:pos="1827"/>
      </w:tabs>
      <w:spacing w:line="240" w:lineRule="atLeast"/>
      <w:outlineLvl w:val="1"/>
    </w:pPr>
    <w:rPr>
      <w:b/>
      <w:bCs/>
    </w:rPr>
  </w:style>
  <w:style w:type="paragraph" w:styleId="Titre3">
    <w:name w:val="heading 3"/>
    <w:basedOn w:val="Normal"/>
    <w:qFormat/>
    <w:rsid w:val="00203E25"/>
    <w:pPr>
      <w:keepNext/>
      <w:tabs>
        <w:tab w:val="left" w:pos="1827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03E25"/>
    <w:pPr>
      <w:keepNext/>
      <w:framePr w:w="2438" w:hSpace="142" w:vSpace="142" w:wrap="around" w:vAnchor="text" w:hAnchor="page" w:y="1"/>
      <w:tabs>
        <w:tab w:val="left" w:pos="426"/>
        <w:tab w:val="left" w:pos="3544"/>
      </w:tabs>
      <w:outlineLvl w:val="3"/>
    </w:pPr>
  </w:style>
  <w:style w:type="paragraph" w:styleId="Titre7">
    <w:name w:val="heading 7"/>
    <w:basedOn w:val="Normal"/>
    <w:next w:val="Normal"/>
    <w:qFormat/>
    <w:rsid w:val="00203E2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3E25"/>
    <w:rPr>
      <w:color w:val="0000FF"/>
      <w:u w:val="single"/>
    </w:rPr>
  </w:style>
  <w:style w:type="paragraph" w:styleId="En-tte">
    <w:name w:val="header"/>
    <w:basedOn w:val="Normal"/>
    <w:rsid w:val="005A75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758F"/>
    <w:pPr>
      <w:tabs>
        <w:tab w:val="center" w:pos="4536"/>
        <w:tab w:val="right" w:pos="9072"/>
      </w:tabs>
    </w:pPr>
  </w:style>
  <w:style w:type="paragraph" w:styleId="TM1">
    <w:name w:val="toc 1"/>
    <w:basedOn w:val="Normal"/>
    <w:autoRedefine/>
    <w:semiHidden/>
    <w:rsid w:val="00203E25"/>
    <w:pPr>
      <w:shd w:val="clear" w:color="auto" w:fill="E6E6E6"/>
      <w:tabs>
        <w:tab w:val="left" w:pos="1134"/>
        <w:tab w:val="left" w:pos="1827"/>
        <w:tab w:val="left" w:pos="3686"/>
        <w:tab w:val="right" w:pos="8931"/>
      </w:tabs>
      <w:ind w:left="2552"/>
    </w:pPr>
    <w:rPr>
      <w:b/>
      <w:bCs/>
      <w:noProof/>
    </w:rPr>
  </w:style>
  <w:style w:type="paragraph" w:styleId="TM5">
    <w:name w:val="toc 5"/>
    <w:basedOn w:val="Normal"/>
    <w:next w:val="Normal"/>
    <w:autoRedefine/>
    <w:semiHidden/>
    <w:rsid w:val="00203E25"/>
    <w:pPr>
      <w:ind w:left="1040"/>
    </w:pPr>
  </w:style>
  <w:style w:type="paragraph" w:styleId="Date">
    <w:name w:val="Date"/>
    <w:basedOn w:val="Normal"/>
    <w:rsid w:val="00203E25"/>
    <w:pPr>
      <w:spacing w:before="140"/>
    </w:pPr>
  </w:style>
  <w:style w:type="paragraph" w:styleId="Titre">
    <w:name w:val="Title"/>
    <w:basedOn w:val="Date"/>
    <w:qFormat/>
    <w:rsid w:val="00203E25"/>
    <w:pPr>
      <w:spacing w:before="80"/>
    </w:pPr>
    <w:rPr>
      <w:b/>
    </w:rPr>
  </w:style>
  <w:style w:type="paragraph" w:customStyle="1" w:styleId="Tabulator1">
    <w:name w:val="Tabulator 1"/>
    <w:basedOn w:val="Normal"/>
    <w:autoRedefine/>
    <w:rsid w:val="00203E25"/>
  </w:style>
  <w:style w:type="paragraph" w:customStyle="1" w:styleId="Tabulator2">
    <w:name w:val="Tabulator 2"/>
    <w:basedOn w:val="Normal"/>
    <w:autoRedefine/>
    <w:rsid w:val="00203E25"/>
  </w:style>
  <w:style w:type="paragraph" w:customStyle="1" w:styleId="Tabulator3">
    <w:name w:val="Tabulator 3"/>
    <w:basedOn w:val="Normal"/>
    <w:autoRedefine/>
    <w:rsid w:val="00203E25"/>
  </w:style>
  <w:style w:type="paragraph" w:customStyle="1" w:styleId="Tabulator4">
    <w:name w:val="Tabulator 4"/>
    <w:basedOn w:val="Normal"/>
    <w:autoRedefine/>
    <w:rsid w:val="00203E25"/>
  </w:style>
  <w:style w:type="paragraph" w:customStyle="1" w:styleId="Tabelle1">
    <w:name w:val="Tabelle 1"/>
    <w:basedOn w:val="Normal"/>
    <w:autoRedefine/>
    <w:rsid w:val="00203E25"/>
  </w:style>
  <w:style w:type="paragraph" w:customStyle="1" w:styleId="Tabelle2">
    <w:name w:val="Tabelle 2"/>
    <w:basedOn w:val="Normal"/>
    <w:autoRedefine/>
    <w:rsid w:val="00203E25"/>
  </w:style>
  <w:style w:type="paragraph" w:customStyle="1" w:styleId="Tabelle3">
    <w:name w:val="Tabelle 3"/>
    <w:basedOn w:val="Normal"/>
    <w:autoRedefine/>
    <w:rsid w:val="00203E25"/>
  </w:style>
  <w:style w:type="paragraph" w:customStyle="1" w:styleId="berschrift31">
    <w:name w:val="Überschrift 3.1"/>
    <w:basedOn w:val="Titre1"/>
    <w:rsid w:val="00203E25"/>
    <w:pPr>
      <w:keepNext w:val="0"/>
      <w:tabs>
        <w:tab w:val="clear" w:pos="709"/>
        <w:tab w:val="left" w:pos="1134"/>
      </w:tabs>
      <w:outlineLvl w:val="9"/>
    </w:pPr>
    <w:rPr>
      <w:b w:val="0"/>
      <w:caps/>
      <w:kern w:val="0"/>
    </w:rPr>
  </w:style>
  <w:style w:type="paragraph" w:customStyle="1" w:styleId="berschrift22">
    <w:name w:val="Überschrift 2.2"/>
    <w:basedOn w:val="Titre2"/>
    <w:rsid w:val="00203E25"/>
    <w:rPr>
      <w:i/>
    </w:rPr>
  </w:style>
  <w:style w:type="paragraph" w:styleId="Corpsdetexte">
    <w:name w:val="Body Text"/>
    <w:basedOn w:val="Normal"/>
    <w:rsid w:val="00203E25"/>
    <w:pPr>
      <w:overflowPunct w:val="0"/>
      <w:autoSpaceDE w:val="0"/>
      <w:autoSpaceDN w:val="0"/>
      <w:adjustRightInd w:val="0"/>
    </w:pPr>
    <w:rPr>
      <w:b/>
      <w:sz w:val="28"/>
      <w:lang w:val="en-GB" w:eastAsia="en-US"/>
    </w:rPr>
  </w:style>
  <w:style w:type="paragraph" w:customStyle="1" w:styleId="Verzeichnis10">
    <w:name w:val="Verzeichnis 10"/>
    <w:basedOn w:val="TM1"/>
    <w:autoRedefine/>
    <w:rsid w:val="00203E25"/>
    <w:pPr>
      <w:ind w:hanging="1"/>
    </w:pPr>
    <w:rPr>
      <w:b w:val="0"/>
      <w:i/>
    </w:rPr>
  </w:style>
  <w:style w:type="character" w:styleId="Lienhypertextesuivivisit">
    <w:name w:val="FollowedHyperlink"/>
    <w:rsid w:val="00203E25"/>
    <w:rPr>
      <w:color w:val="800080"/>
      <w:u w:val="single"/>
    </w:rPr>
  </w:style>
  <w:style w:type="paragraph" w:customStyle="1" w:styleId="Standard9">
    <w:name w:val="Standard 9"/>
    <w:basedOn w:val="Normal"/>
    <w:rsid w:val="00203E25"/>
    <w:rPr>
      <w:bCs/>
      <w:sz w:val="18"/>
    </w:rPr>
  </w:style>
  <w:style w:type="paragraph" w:customStyle="1" w:styleId="Abstandvornachlinie">
    <w:name w:val="Abstand vor/nach linie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ind w:left="-8" w:firstLine="8"/>
    </w:pPr>
    <w:rPr>
      <w:sz w:val="8"/>
      <w:lang w:val="de-DE"/>
    </w:rPr>
  </w:style>
  <w:style w:type="paragraph" w:customStyle="1" w:styleId="Marginalie">
    <w:name w:val="Marginalie"/>
    <w:basedOn w:val="Normal"/>
    <w:autoRedefine/>
    <w:rsid w:val="00F92096"/>
    <w:pPr>
      <w:framePr w:w="2438" w:hSpace="142" w:vSpace="142" w:wrap="around" w:vAnchor="text" w:hAnchor="page" w:x="1231" w:y="43"/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position w:val="10"/>
      <w:sz w:val="18"/>
      <w:lang w:val="de-DE"/>
    </w:rPr>
  </w:style>
  <w:style w:type="character" w:styleId="Numrodepage">
    <w:name w:val="page number"/>
    <w:basedOn w:val="Policepardfaut"/>
    <w:rsid w:val="0032731A"/>
  </w:style>
  <w:style w:type="paragraph" w:customStyle="1" w:styleId="TitelAuftraggeber">
    <w:name w:val="Titel Auftraggeber"/>
    <w:basedOn w:val="Normal"/>
    <w:next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18"/>
      <w:lang w:val="de-DE"/>
    </w:rPr>
  </w:style>
  <w:style w:type="paragraph" w:customStyle="1" w:styleId="TitelAuftrag">
    <w:name w:val="Titel Auftrag"/>
    <w:basedOn w:val="Normal"/>
    <w:next w:val="Normal"/>
    <w:autoRedefine/>
    <w:rsid w:val="0032731A"/>
    <w:pPr>
      <w:widowControl w:val="0"/>
      <w:spacing w:after="280" w:line="240" w:lineRule="atLeast"/>
    </w:pPr>
    <w:rPr>
      <w:b/>
      <w:sz w:val="18"/>
      <w:lang w:val="de-DE"/>
    </w:rPr>
  </w:style>
  <w:style w:type="paragraph" w:customStyle="1" w:styleId="TitelDokument">
    <w:name w:val="Titel Dokument"/>
    <w:basedOn w:val="Normal"/>
    <w:next w:val="Normal"/>
    <w:autoRedefine/>
    <w:rsid w:val="0032731A"/>
    <w:pPr>
      <w:widowControl w:val="0"/>
      <w:spacing w:after="1000" w:line="240" w:lineRule="atLeast"/>
    </w:pPr>
    <w:rPr>
      <w:b/>
      <w:sz w:val="18"/>
      <w:lang w:val="de-DE"/>
    </w:rPr>
  </w:style>
  <w:style w:type="paragraph" w:customStyle="1" w:styleId="Pfad">
    <w:name w:val="Pfad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12"/>
      <w:lang w:val="de-DE"/>
    </w:rPr>
  </w:style>
  <w:style w:type="paragraph" w:customStyle="1" w:styleId="Formatvorlage15">
    <w:name w:val="Formatvorlage15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30"/>
      <w:lang w:val="de-DE"/>
    </w:rPr>
  </w:style>
  <w:style w:type="paragraph" w:styleId="TM6">
    <w:name w:val="toc 6"/>
    <w:basedOn w:val="Normal"/>
    <w:next w:val="Normal"/>
    <w:autoRedefine/>
    <w:semiHidden/>
    <w:rsid w:val="0032731A"/>
    <w:pPr>
      <w:ind w:left="1300"/>
    </w:pPr>
    <w:rPr>
      <w:rFonts w:eastAsia="Times"/>
      <w:sz w:val="14"/>
    </w:rPr>
  </w:style>
  <w:style w:type="paragraph" w:customStyle="1" w:styleId="Strich">
    <w:name w:val="Strich"/>
    <w:basedOn w:val="Normal"/>
    <w:autoRedefine/>
    <w:rsid w:val="00F92096"/>
    <w:pPr>
      <w:widowControl w:val="0"/>
      <w:pBdr>
        <w:bottom w:val="single" w:sz="2" w:space="1" w:color="auto"/>
      </w:pBdr>
      <w:tabs>
        <w:tab w:val="left" w:pos="426"/>
        <w:tab w:val="left" w:pos="559"/>
        <w:tab w:val="left" w:pos="638"/>
        <w:tab w:val="left" w:pos="993"/>
        <w:tab w:val="left" w:pos="1126"/>
        <w:tab w:val="right" w:pos="1347"/>
        <w:tab w:val="right" w:pos="2977"/>
        <w:tab w:val="left" w:pos="3261"/>
        <w:tab w:val="left" w:pos="4253"/>
        <w:tab w:val="right" w:pos="4386"/>
        <w:tab w:val="right" w:pos="5103"/>
        <w:tab w:val="left" w:pos="5812"/>
        <w:tab w:val="right" w:pos="5954"/>
        <w:tab w:val="right" w:pos="7230"/>
      </w:tabs>
      <w:spacing w:after="140" w:line="60" w:lineRule="atLeast"/>
      <w:ind w:left="1021" w:right="567" w:firstLine="8"/>
    </w:pPr>
    <w:rPr>
      <w:noProof/>
      <w:sz w:val="8"/>
      <w:lang w:val="de-DE"/>
    </w:rPr>
  </w:style>
  <w:style w:type="paragraph" w:customStyle="1" w:styleId="AbsatzKopfzeile">
    <w:name w:val="Absatz Kopfzeile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after="2228" w:line="240" w:lineRule="atLeast"/>
      <w:ind w:left="-8" w:firstLine="8"/>
    </w:pPr>
    <w:rPr>
      <w:noProof/>
      <w:sz w:val="18"/>
      <w:lang w:val="de-DE"/>
    </w:rPr>
  </w:style>
  <w:style w:type="paragraph" w:customStyle="1" w:styleId="Marginaliefett">
    <w:name w:val="Marginalie fett"/>
    <w:basedOn w:val="Marginalie"/>
    <w:rsid w:val="0032731A"/>
    <w:pPr>
      <w:framePr w:wrap="around"/>
    </w:pPr>
    <w:rPr>
      <w:b/>
    </w:rPr>
  </w:style>
  <w:style w:type="paragraph" w:styleId="Textedebulles">
    <w:name w:val="Balloon Text"/>
    <w:basedOn w:val="Normal"/>
    <w:link w:val="TextedebullesCar"/>
    <w:rsid w:val="00393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3ADB"/>
    <w:rPr>
      <w:rFonts w:ascii="Tahoma" w:hAnsi="Tahoma" w:cs="Tahoma"/>
      <w:sz w:val="16"/>
      <w:szCs w:val="16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3E25"/>
    <w:rPr>
      <w:rFonts w:ascii="Arial" w:hAnsi="Arial"/>
      <w:sz w:val="22"/>
      <w:lang w:val="de-CH" w:eastAsia="de-DE"/>
    </w:rPr>
  </w:style>
  <w:style w:type="paragraph" w:styleId="Titre1">
    <w:name w:val="heading 1"/>
    <w:basedOn w:val="Normal"/>
    <w:qFormat/>
    <w:rsid w:val="00203E25"/>
    <w:pPr>
      <w:keepNext/>
      <w:tabs>
        <w:tab w:val="left" w:pos="709"/>
        <w:tab w:val="left" w:pos="1827"/>
        <w:tab w:val="right" w:pos="5382"/>
      </w:tabs>
      <w:outlineLvl w:val="0"/>
    </w:pPr>
    <w:rPr>
      <w:b/>
      <w:bCs/>
      <w:kern w:val="28"/>
    </w:rPr>
  </w:style>
  <w:style w:type="paragraph" w:styleId="Titre2">
    <w:name w:val="heading 2"/>
    <w:basedOn w:val="Normal"/>
    <w:qFormat/>
    <w:rsid w:val="00203E25"/>
    <w:pPr>
      <w:keepNext/>
      <w:tabs>
        <w:tab w:val="left" w:pos="567"/>
        <w:tab w:val="right" w:pos="765"/>
        <w:tab w:val="left" w:pos="1827"/>
      </w:tabs>
      <w:spacing w:line="240" w:lineRule="atLeast"/>
      <w:outlineLvl w:val="1"/>
    </w:pPr>
    <w:rPr>
      <w:b/>
      <w:bCs/>
    </w:rPr>
  </w:style>
  <w:style w:type="paragraph" w:styleId="Titre3">
    <w:name w:val="heading 3"/>
    <w:basedOn w:val="Normal"/>
    <w:qFormat/>
    <w:rsid w:val="00203E25"/>
    <w:pPr>
      <w:keepNext/>
      <w:tabs>
        <w:tab w:val="left" w:pos="1827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203E25"/>
    <w:pPr>
      <w:keepNext/>
      <w:framePr w:w="2438" w:hSpace="142" w:vSpace="142" w:wrap="around" w:vAnchor="text" w:hAnchor="page" w:y="1"/>
      <w:tabs>
        <w:tab w:val="left" w:pos="426"/>
        <w:tab w:val="left" w:pos="3544"/>
      </w:tabs>
      <w:outlineLvl w:val="3"/>
    </w:pPr>
  </w:style>
  <w:style w:type="paragraph" w:styleId="Titre7">
    <w:name w:val="heading 7"/>
    <w:basedOn w:val="Normal"/>
    <w:next w:val="Normal"/>
    <w:qFormat/>
    <w:rsid w:val="00203E2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03E25"/>
    <w:rPr>
      <w:color w:val="0000FF"/>
      <w:u w:val="single"/>
    </w:rPr>
  </w:style>
  <w:style w:type="paragraph" w:styleId="En-tte">
    <w:name w:val="header"/>
    <w:basedOn w:val="Normal"/>
    <w:rsid w:val="005A758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A758F"/>
    <w:pPr>
      <w:tabs>
        <w:tab w:val="center" w:pos="4536"/>
        <w:tab w:val="right" w:pos="9072"/>
      </w:tabs>
    </w:pPr>
  </w:style>
  <w:style w:type="paragraph" w:styleId="TM1">
    <w:name w:val="toc 1"/>
    <w:basedOn w:val="Normal"/>
    <w:autoRedefine/>
    <w:semiHidden/>
    <w:rsid w:val="00203E25"/>
    <w:pPr>
      <w:shd w:val="clear" w:color="auto" w:fill="E6E6E6"/>
      <w:tabs>
        <w:tab w:val="left" w:pos="1134"/>
        <w:tab w:val="left" w:pos="1827"/>
        <w:tab w:val="left" w:pos="3686"/>
        <w:tab w:val="right" w:pos="8931"/>
      </w:tabs>
      <w:ind w:left="2552"/>
    </w:pPr>
    <w:rPr>
      <w:b/>
      <w:bCs/>
      <w:noProof/>
    </w:rPr>
  </w:style>
  <w:style w:type="paragraph" w:styleId="TM5">
    <w:name w:val="toc 5"/>
    <w:basedOn w:val="Normal"/>
    <w:next w:val="Normal"/>
    <w:autoRedefine/>
    <w:semiHidden/>
    <w:rsid w:val="00203E25"/>
    <w:pPr>
      <w:ind w:left="1040"/>
    </w:pPr>
  </w:style>
  <w:style w:type="paragraph" w:styleId="Date">
    <w:name w:val="Date"/>
    <w:basedOn w:val="Normal"/>
    <w:rsid w:val="00203E25"/>
    <w:pPr>
      <w:spacing w:before="140"/>
    </w:pPr>
  </w:style>
  <w:style w:type="paragraph" w:styleId="Titre">
    <w:name w:val="Title"/>
    <w:basedOn w:val="Date"/>
    <w:qFormat/>
    <w:rsid w:val="00203E25"/>
    <w:pPr>
      <w:spacing w:before="80"/>
    </w:pPr>
    <w:rPr>
      <w:b/>
    </w:rPr>
  </w:style>
  <w:style w:type="paragraph" w:customStyle="1" w:styleId="Tabulator1">
    <w:name w:val="Tabulator 1"/>
    <w:basedOn w:val="Normal"/>
    <w:autoRedefine/>
    <w:rsid w:val="00203E25"/>
  </w:style>
  <w:style w:type="paragraph" w:customStyle="1" w:styleId="Tabulator2">
    <w:name w:val="Tabulator 2"/>
    <w:basedOn w:val="Normal"/>
    <w:autoRedefine/>
    <w:rsid w:val="00203E25"/>
  </w:style>
  <w:style w:type="paragraph" w:customStyle="1" w:styleId="Tabulator3">
    <w:name w:val="Tabulator 3"/>
    <w:basedOn w:val="Normal"/>
    <w:autoRedefine/>
    <w:rsid w:val="00203E25"/>
  </w:style>
  <w:style w:type="paragraph" w:customStyle="1" w:styleId="Tabulator4">
    <w:name w:val="Tabulator 4"/>
    <w:basedOn w:val="Normal"/>
    <w:autoRedefine/>
    <w:rsid w:val="00203E25"/>
  </w:style>
  <w:style w:type="paragraph" w:customStyle="1" w:styleId="Tabelle1">
    <w:name w:val="Tabelle 1"/>
    <w:basedOn w:val="Normal"/>
    <w:autoRedefine/>
    <w:rsid w:val="00203E25"/>
  </w:style>
  <w:style w:type="paragraph" w:customStyle="1" w:styleId="Tabelle2">
    <w:name w:val="Tabelle 2"/>
    <w:basedOn w:val="Normal"/>
    <w:autoRedefine/>
    <w:rsid w:val="00203E25"/>
  </w:style>
  <w:style w:type="paragraph" w:customStyle="1" w:styleId="Tabelle3">
    <w:name w:val="Tabelle 3"/>
    <w:basedOn w:val="Normal"/>
    <w:autoRedefine/>
    <w:rsid w:val="00203E25"/>
  </w:style>
  <w:style w:type="paragraph" w:customStyle="1" w:styleId="berschrift31">
    <w:name w:val="Überschrift 3.1"/>
    <w:basedOn w:val="Titre1"/>
    <w:rsid w:val="00203E25"/>
    <w:pPr>
      <w:keepNext w:val="0"/>
      <w:tabs>
        <w:tab w:val="clear" w:pos="709"/>
        <w:tab w:val="left" w:pos="1134"/>
      </w:tabs>
      <w:outlineLvl w:val="9"/>
    </w:pPr>
    <w:rPr>
      <w:b w:val="0"/>
      <w:caps/>
      <w:kern w:val="0"/>
    </w:rPr>
  </w:style>
  <w:style w:type="paragraph" w:customStyle="1" w:styleId="berschrift22">
    <w:name w:val="Überschrift 2.2"/>
    <w:basedOn w:val="Titre2"/>
    <w:rsid w:val="00203E25"/>
    <w:rPr>
      <w:i/>
    </w:rPr>
  </w:style>
  <w:style w:type="paragraph" w:styleId="Corpsdetexte">
    <w:name w:val="Body Text"/>
    <w:basedOn w:val="Normal"/>
    <w:rsid w:val="00203E25"/>
    <w:pPr>
      <w:overflowPunct w:val="0"/>
      <w:autoSpaceDE w:val="0"/>
      <w:autoSpaceDN w:val="0"/>
      <w:adjustRightInd w:val="0"/>
    </w:pPr>
    <w:rPr>
      <w:b/>
      <w:sz w:val="28"/>
      <w:lang w:val="en-GB" w:eastAsia="en-US"/>
    </w:rPr>
  </w:style>
  <w:style w:type="paragraph" w:customStyle="1" w:styleId="Verzeichnis10">
    <w:name w:val="Verzeichnis 10"/>
    <w:basedOn w:val="TM1"/>
    <w:autoRedefine/>
    <w:rsid w:val="00203E25"/>
    <w:pPr>
      <w:ind w:hanging="1"/>
    </w:pPr>
    <w:rPr>
      <w:b w:val="0"/>
      <w:i/>
    </w:rPr>
  </w:style>
  <w:style w:type="character" w:styleId="Lienhypertextesuivivisit">
    <w:name w:val="FollowedHyperlink"/>
    <w:rsid w:val="00203E25"/>
    <w:rPr>
      <w:color w:val="800080"/>
      <w:u w:val="single"/>
    </w:rPr>
  </w:style>
  <w:style w:type="paragraph" w:customStyle="1" w:styleId="Standard9">
    <w:name w:val="Standard 9"/>
    <w:basedOn w:val="Normal"/>
    <w:rsid w:val="00203E25"/>
    <w:rPr>
      <w:bCs/>
      <w:sz w:val="18"/>
    </w:rPr>
  </w:style>
  <w:style w:type="paragraph" w:customStyle="1" w:styleId="Abstandvornachlinie">
    <w:name w:val="Abstand vor/nach linie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ind w:left="-8" w:firstLine="8"/>
    </w:pPr>
    <w:rPr>
      <w:sz w:val="8"/>
      <w:lang w:val="de-DE"/>
    </w:rPr>
  </w:style>
  <w:style w:type="paragraph" w:customStyle="1" w:styleId="Marginalie">
    <w:name w:val="Marginalie"/>
    <w:basedOn w:val="Normal"/>
    <w:autoRedefine/>
    <w:rsid w:val="00F92096"/>
    <w:pPr>
      <w:framePr w:w="2438" w:hSpace="142" w:vSpace="142" w:wrap="around" w:vAnchor="text" w:hAnchor="page" w:x="1231" w:y="43"/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position w:val="10"/>
      <w:sz w:val="18"/>
      <w:lang w:val="de-DE"/>
    </w:rPr>
  </w:style>
  <w:style w:type="character" w:styleId="Numrodepage">
    <w:name w:val="page number"/>
    <w:basedOn w:val="Policepardfaut"/>
    <w:rsid w:val="0032731A"/>
  </w:style>
  <w:style w:type="paragraph" w:customStyle="1" w:styleId="TitelAuftraggeber">
    <w:name w:val="Titel Auftraggeber"/>
    <w:basedOn w:val="Normal"/>
    <w:next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18"/>
      <w:lang w:val="de-DE"/>
    </w:rPr>
  </w:style>
  <w:style w:type="paragraph" w:customStyle="1" w:styleId="TitelAuftrag">
    <w:name w:val="Titel Auftrag"/>
    <w:basedOn w:val="Normal"/>
    <w:next w:val="Normal"/>
    <w:autoRedefine/>
    <w:rsid w:val="0032731A"/>
    <w:pPr>
      <w:widowControl w:val="0"/>
      <w:spacing w:after="280" w:line="240" w:lineRule="atLeast"/>
    </w:pPr>
    <w:rPr>
      <w:b/>
      <w:sz w:val="18"/>
      <w:lang w:val="de-DE"/>
    </w:rPr>
  </w:style>
  <w:style w:type="paragraph" w:customStyle="1" w:styleId="TitelDokument">
    <w:name w:val="Titel Dokument"/>
    <w:basedOn w:val="Normal"/>
    <w:next w:val="Normal"/>
    <w:autoRedefine/>
    <w:rsid w:val="0032731A"/>
    <w:pPr>
      <w:widowControl w:val="0"/>
      <w:spacing w:after="1000" w:line="240" w:lineRule="atLeast"/>
    </w:pPr>
    <w:rPr>
      <w:b/>
      <w:sz w:val="18"/>
      <w:lang w:val="de-DE"/>
    </w:rPr>
  </w:style>
  <w:style w:type="paragraph" w:customStyle="1" w:styleId="Pfad">
    <w:name w:val="Pfad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12"/>
      <w:lang w:val="de-DE"/>
    </w:rPr>
  </w:style>
  <w:style w:type="paragraph" w:customStyle="1" w:styleId="Formatvorlage15">
    <w:name w:val="Formatvorlage15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line="240" w:lineRule="atLeast"/>
      <w:ind w:left="-8" w:firstLine="8"/>
    </w:pPr>
    <w:rPr>
      <w:sz w:val="30"/>
      <w:lang w:val="de-DE"/>
    </w:rPr>
  </w:style>
  <w:style w:type="paragraph" w:styleId="TM6">
    <w:name w:val="toc 6"/>
    <w:basedOn w:val="Normal"/>
    <w:next w:val="Normal"/>
    <w:autoRedefine/>
    <w:semiHidden/>
    <w:rsid w:val="0032731A"/>
    <w:pPr>
      <w:ind w:left="1300"/>
    </w:pPr>
    <w:rPr>
      <w:rFonts w:eastAsia="Times"/>
      <w:sz w:val="14"/>
    </w:rPr>
  </w:style>
  <w:style w:type="paragraph" w:customStyle="1" w:styleId="Strich">
    <w:name w:val="Strich"/>
    <w:basedOn w:val="Normal"/>
    <w:autoRedefine/>
    <w:rsid w:val="00F92096"/>
    <w:pPr>
      <w:widowControl w:val="0"/>
      <w:pBdr>
        <w:bottom w:val="single" w:sz="2" w:space="1" w:color="auto"/>
      </w:pBdr>
      <w:tabs>
        <w:tab w:val="left" w:pos="426"/>
        <w:tab w:val="left" w:pos="559"/>
        <w:tab w:val="left" w:pos="638"/>
        <w:tab w:val="left" w:pos="993"/>
        <w:tab w:val="left" w:pos="1126"/>
        <w:tab w:val="right" w:pos="1347"/>
        <w:tab w:val="right" w:pos="2977"/>
        <w:tab w:val="left" w:pos="3261"/>
        <w:tab w:val="left" w:pos="4253"/>
        <w:tab w:val="right" w:pos="4386"/>
        <w:tab w:val="right" w:pos="5103"/>
        <w:tab w:val="left" w:pos="5812"/>
        <w:tab w:val="right" w:pos="5954"/>
        <w:tab w:val="right" w:pos="7230"/>
      </w:tabs>
      <w:spacing w:after="140" w:line="60" w:lineRule="atLeast"/>
      <w:ind w:left="1021" w:right="567" w:firstLine="8"/>
    </w:pPr>
    <w:rPr>
      <w:noProof/>
      <w:sz w:val="8"/>
      <w:lang w:val="de-DE"/>
    </w:rPr>
  </w:style>
  <w:style w:type="paragraph" w:customStyle="1" w:styleId="AbsatzKopfzeile">
    <w:name w:val="Absatz Kopfzeile"/>
    <w:basedOn w:val="Normal"/>
    <w:autoRedefine/>
    <w:rsid w:val="00F92096"/>
    <w:pPr>
      <w:widowControl w:val="0"/>
      <w:tabs>
        <w:tab w:val="left" w:pos="559"/>
        <w:tab w:val="left" w:pos="1126"/>
        <w:tab w:val="right" w:pos="4386"/>
      </w:tabs>
      <w:spacing w:after="2228" w:line="240" w:lineRule="atLeast"/>
      <w:ind w:left="-8" w:firstLine="8"/>
    </w:pPr>
    <w:rPr>
      <w:noProof/>
      <w:sz w:val="18"/>
      <w:lang w:val="de-DE"/>
    </w:rPr>
  </w:style>
  <w:style w:type="paragraph" w:customStyle="1" w:styleId="Marginaliefett">
    <w:name w:val="Marginalie fett"/>
    <w:basedOn w:val="Marginalie"/>
    <w:rsid w:val="0032731A"/>
    <w:pPr>
      <w:framePr w:wrap="around"/>
    </w:pPr>
    <w:rPr>
      <w:b/>
    </w:rPr>
  </w:style>
  <w:style w:type="paragraph" w:styleId="Textedebulles">
    <w:name w:val="Balloon Text"/>
    <w:basedOn w:val="Normal"/>
    <w:link w:val="TextedebullesCar"/>
    <w:rsid w:val="00393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93ADB"/>
    <w:rPr>
      <w:rFonts w:ascii="Tahoma" w:hAnsi="Tahoma" w:cs="Tahoma"/>
      <w:sz w:val="16"/>
      <w:szCs w:val="1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8858-3216-458E-A823-E40B4A0F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245E24AA.dotm</Template>
  <TotalTime>0</TotalTime>
  <Pages>8</Pages>
  <Words>1627</Words>
  <Characters>8952</Characters>
  <Application>Microsoft Office Word</Application>
  <DocSecurity>4</DocSecurity>
  <Lines>74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Annexe A1 au RTC</vt:lpstr>
      <vt:lpstr>Annexe A1 au RTC</vt:lpstr>
    </vt:vector>
  </TitlesOfParts>
  <Company>Canton de Berne</Company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A1 au RTC</dc:title>
  <dc:creator>ST</dc:creator>
  <cp:lastModifiedBy>Schwed Mayor Florence, JGK-GS-UeD</cp:lastModifiedBy>
  <cp:revision>2</cp:revision>
  <cp:lastPrinted>2017-08-24T08:00:00Z</cp:lastPrinted>
  <dcterms:created xsi:type="dcterms:W3CDTF">2017-08-31T06:46:00Z</dcterms:created>
  <dcterms:modified xsi:type="dcterms:W3CDTF">2017-08-31T06:46:00Z</dcterms:modified>
</cp:coreProperties>
</file>