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26" w:rsidRPr="00BE1070" w:rsidRDefault="00BE1070">
      <w:pPr>
        <w:rPr>
          <w:rFonts w:ascii="Arial" w:hAnsi="Arial" w:cs="Arial"/>
        </w:rPr>
      </w:pPr>
      <w:bookmarkStart w:id="0" w:name="_GoBack"/>
      <w:bookmarkEnd w:id="0"/>
      <w:r w:rsidRPr="00820B1D">
        <w:rPr>
          <w:rFonts w:ascii="Arial" w:hAnsi="Arial" w:cs="Arial"/>
          <w:highlight w:val="lightGray"/>
        </w:rPr>
        <w:t>Commune municipale</w:t>
      </w:r>
      <w:r w:rsidR="001C41DB" w:rsidRPr="00820B1D">
        <w:rPr>
          <w:rFonts w:ascii="Arial" w:hAnsi="Arial" w:cs="Arial"/>
          <w:highlight w:val="lightGray"/>
        </w:rPr>
        <w:t xml:space="preserve"> de</w:t>
      </w:r>
      <w:r w:rsidR="001C41DB">
        <w:rPr>
          <w:rFonts w:ascii="Arial" w:hAnsi="Arial" w:cs="Arial"/>
        </w:rPr>
        <w:t>/</w:t>
      </w:r>
      <w:r w:rsidR="001C41DB" w:rsidRPr="00820B1D">
        <w:rPr>
          <w:rFonts w:ascii="Arial" w:hAnsi="Arial" w:cs="Arial"/>
          <w:highlight w:val="yellow"/>
        </w:rPr>
        <w:t>d</w:t>
      </w:r>
      <w:r w:rsidR="001C41DB">
        <w:rPr>
          <w:rFonts w:ascii="Arial" w:hAnsi="Arial" w:cs="Arial"/>
        </w:rPr>
        <w:t>’</w:t>
      </w:r>
      <w:r w:rsidR="006D58EF" w:rsidRPr="00BE1070">
        <w:rPr>
          <w:rFonts w:ascii="Arial" w:hAnsi="Arial" w:cs="Arial"/>
          <w:highlight w:val="yellow"/>
        </w:rPr>
        <w:t>XXX</w:t>
      </w:r>
      <w:r w:rsidR="006D58EF" w:rsidRPr="00BE1070">
        <w:rPr>
          <w:rFonts w:ascii="Arial" w:hAnsi="Arial" w:cs="Arial"/>
        </w:rPr>
        <w:tab/>
      </w:r>
      <w:r w:rsidR="006D58EF" w:rsidRPr="00BE1070">
        <w:rPr>
          <w:rFonts w:ascii="Arial" w:hAnsi="Arial" w:cs="Arial"/>
        </w:rPr>
        <w:tab/>
      </w:r>
      <w:r w:rsidR="006D58EF" w:rsidRPr="00BE1070">
        <w:rPr>
          <w:rFonts w:ascii="Arial" w:hAnsi="Arial" w:cs="Arial"/>
        </w:rPr>
        <w:tab/>
      </w:r>
      <w:r w:rsidR="006D58EF" w:rsidRPr="00BE1070">
        <w:rPr>
          <w:rFonts w:ascii="Arial" w:hAnsi="Arial" w:cs="Arial"/>
        </w:rPr>
        <w:tab/>
      </w:r>
      <w:r w:rsidR="006D58EF" w:rsidRPr="00BE1070">
        <w:rPr>
          <w:rFonts w:ascii="Arial" w:hAnsi="Arial" w:cs="Arial"/>
        </w:rPr>
        <w:tab/>
      </w:r>
      <w:r>
        <w:rPr>
          <w:rFonts w:ascii="Arial" w:hAnsi="Arial" w:cs="Arial"/>
          <w:highlight w:val="yellow"/>
        </w:rPr>
        <w:t>Lieu et date</w:t>
      </w:r>
      <w:r w:rsidRPr="00BE1070">
        <w:rPr>
          <w:rFonts w:ascii="Arial" w:hAnsi="Arial" w:cs="Arial"/>
        </w:rPr>
        <w:t xml:space="preserve"> </w:t>
      </w:r>
      <w:r w:rsidR="006D58EF" w:rsidRPr="00BE1070">
        <w:rPr>
          <w:rFonts w:ascii="Arial" w:hAnsi="Arial" w:cs="Arial"/>
        </w:rPr>
        <w:br/>
      </w:r>
      <w:r w:rsidR="001A2BDE" w:rsidRPr="00BE1070">
        <w:rPr>
          <w:rFonts w:ascii="Arial" w:hAnsi="Arial" w:cs="Arial"/>
          <w:highlight w:val="yellow"/>
        </w:rPr>
        <w:t>[</w:t>
      </w:r>
      <w:r>
        <w:rPr>
          <w:rFonts w:ascii="Arial" w:hAnsi="Arial" w:cs="Arial"/>
          <w:highlight w:val="yellow"/>
        </w:rPr>
        <w:t>organe compétent</w:t>
      </w:r>
      <w:r w:rsidR="001A2BDE" w:rsidRPr="00BE1070">
        <w:rPr>
          <w:rFonts w:ascii="Arial" w:hAnsi="Arial" w:cs="Arial"/>
          <w:highlight w:val="yellow"/>
        </w:rPr>
        <w:t>]</w:t>
      </w:r>
    </w:p>
    <w:p w:rsidR="006D58EF" w:rsidRPr="00BE1070" w:rsidRDefault="006D58EF">
      <w:pPr>
        <w:rPr>
          <w:rFonts w:ascii="Arial" w:hAnsi="Arial" w:cs="Arial"/>
        </w:rPr>
      </w:pPr>
    </w:p>
    <w:p w:rsidR="006D58EF" w:rsidRPr="00EE4234" w:rsidRDefault="00BE1070" w:rsidP="001A2BDE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EE4234">
        <w:rPr>
          <w:rFonts w:ascii="Arial" w:hAnsi="Arial" w:cs="Arial"/>
          <w:b/>
          <w:sz w:val="28"/>
          <w:szCs w:val="28"/>
          <w:lang w:val="it-IT"/>
        </w:rPr>
        <w:t>D</w:t>
      </w:r>
      <w:r w:rsidR="001A2BDE" w:rsidRPr="00EE4234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C03772" w:rsidRPr="00EE4234">
        <w:rPr>
          <w:rFonts w:ascii="Arial" w:hAnsi="Arial" w:cs="Arial"/>
          <w:b/>
          <w:sz w:val="28"/>
          <w:szCs w:val="28"/>
          <w:lang w:val="it-IT"/>
        </w:rPr>
        <w:t>É</w:t>
      </w:r>
      <w:r w:rsidR="001A2BDE" w:rsidRPr="00EE4234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EE4234">
        <w:rPr>
          <w:rFonts w:ascii="Arial" w:hAnsi="Arial" w:cs="Arial"/>
          <w:b/>
          <w:sz w:val="28"/>
          <w:szCs w:val="28"/>
          <w:lang w:val="it-IT"/>
        </w:rPr>
        <w:t>C</w:t>
      </w:r>
      <w:r w:rsidR="001A2BDE" w:rsidRPr="00EE4234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EE4234">
        <w:rPr>
          <w:rFonts w:ascii="Arial" w:hAnsi="Arial" w:cs="Arial"/>
          <w:b/>
          <w:sz w:val="28"/>
          <w:szCs w:val="28"/>
          <w:lang w:val="it-IT"/>
        </w:rPr>
        <w:t>I</w:t>
      </w:r>
      <w:r w:rsidR="001A2BDE" w:rsidRPr="00EE4234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EE4234">
        <w:rPr>
          <w:rFonts w:ascii="Arial" w:hAnsi="Arial" w:cs="Arial"/>
          <w:b/>
          <w:sz w:val="28"/>
          <w:szCs w:val="28"/>
          <w:lang w:val="it-IT"/>
        </w:rPr>
        <w:t>S</w:t>
      </w:r>
      <w:r w:rsidR="001A2BDE" w:rsidRPr="00EE4234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EE4234">
        <w:rPr>
          <w:rFonts w:ascii="Arial" w:hAnsi="Arial" w:cs="Arial"/>
          <w:b/>
          <w:sz w:val="28"/>
          <w:szCs w:val="28"/>
          <w:lang w:val="it-IT"/>
        </w:rPr>
        <w:t>I</w:t>
      </w:r>
      <w:r w:rsidR="001A2BDE" w:rsidRPr="00EE4234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EE4234">
        <w:rPr>
          <w:rFonts w:ascii="Arial" w:hAnsi="Arial" w:cs="Arial"/>
          <w:b/>
          <w:sz w:val="28"/>
          <w:szCs w:val="28"/>
          <w:lang w:val="it-IT"/>
        </w:rPr>
        <w:t>O</w:t>
      </w:r>
      <w:r w:rsidR="001A2BDE" w:rsidRPr="00EE4234">
        <w:rPr>
          <w:rFonts w:ascii="Arial" w:hAnsi="Arial" w:cs="Arial"/>
          <w:b/>
          <w:sz w:val="28"/>
          <w:szCs w:val="28"/>
          <w:lang w:val="it-IT"/>
        </w:rPr>
        <w:t xml:space="preserve"> N</w:t>
      </w:r>
      <w:r w:rsidR="004521EC" w:rsidRPr="00EE4234">
        <w:rPr>
          <w:rFonts w:ascii="Arial" w:hAnsi="Arial" w:cs="Arial"/>
          <w:b/>
          <w:sz w:val="28"/>
          <w:szCs w:val="28"/>
          <w:lang w:val="it-IT"/>
        </w:rPr>
        <w:t xml:space="preserve"> – T Y P E</w:t>
      </w:r>
    </w:p>
    <w:p w:rsidR="001A2BDE" w:rsidRPr="00BE1070" w:rsidRDefault="00BE1070">
      <w:pPr>
        <w:rPr>
          <w:rFonts w:ascii="Arial" w:hAnsi="Arial" w:cs="Arial"/>
        </w:rPr>
      </w:pPr>
      <w:r>
        <w:rPr>
          <w:rFonts w:ascii="Arial" w:hAnsi="Arial" w:cs="Arial"/>
        </w:rPr>
        <w:t>à l’endroit de</w:t>
      </w:r>
    </w:p>
    <w:p w:rsidR="001A2BDE" w:rsidRPr="00BE1070" w:rsidRDefault="001A2BDE">
      <w:pPr>
        <w:rPr>
          <w:rFonts w:ascii="Arial" w:hAnsi="Arial" w:cs="Arial"/>
        </w:rPr>
      </w:pPr>
      <w:r w:rsidRPr="00BE1070">
        <w:rPr>
          <w:rFonts w:ascii="Arial" w:hAnsi="Arial" w:cs="Arial"/>
          <w:highlight w:val="yellow"/>
        </w:rPr>
        <w:t>[</w:t>
      </w:r>
      <w:r w:rsidR="00BE1070">
        <w:rPr>
          <w:rFonts w:ascii="Arial" w:hAnsi="Arial" w:cs="Arial"/>
          <w:highlight w:val="yellow"/>
        </w:rPr>
        <w:t>nom et a</w:t>
      </w:r>
      <w:r w:rsidRPr="00BE1070">
        <w:rPr>
          <w:rFonts w:ascii="Arial" w:hAnsi="Arial" w:cs="Arial"/>
          <w:highlight w:val="yellow"/>
        </w:rPr>
        <w:t>dresse d</w:t>
      </w:r>
      <w:r w:rsidR="00BE1070">
        <w:rPr>
          <w:rFonts w:ascii="Arial" w:hAnsi="Arial" w:cs="Arial"/>
          <w:highlight w:val="yellow"/>
        </w:rPr>
        <w:t>u propriétaire foncier</w:t>
      </w:r>
      <w:r w:rsidRPr="00BE1070">
        <w:rPr>
          <w:rFonts w:ascii="Arial" w:hAnsi="Arial" w:cs="Arial"/>
          <w:highlight w:val="yellow"/>
        </w:rPr>
        <w:t>]</w:t>
      </w:r>
    </w:p>
    <w:p w:rsidR="001A2BDE" w:rsidRPr="00BE1070" w:rsidRDefault="00BE10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Faits</w:t>
      </w:r>
      <w:r w:rsidR="00D237B5">
        <w:rPr>
          <w:rFonts w:ascii="Arial" w:hAnsi="Arial" w:cs="Arial"/>
          <w:b/>
        </w:rPr>
        <w:t>:</w:t>
      </w:r>
      <w:r w:rsidR="005F41A4" w:rsidRPr="00BE1070">
        <w:rPr>
          <w:rFonts w:ascii="Arial" w:hAnsi="Arial" w:cs="Arial"/>
          <w:highlight w:val="yellow"/>
        </w:rPr>
        <w:t xml:space="preserve"> </w:t>
      </w:r>
    </w:p>
    <w:p w:rsidR="001A2BDE" w:rsidRPr="00BE1070" w:rsidRDefault="001A2BDE" w:rsidP="001A2BDE">
      <w:pPr>
        <w:pStyle w:val="Listenabsatz"/>
        <w:numPr>
          <w:ilvl w:val="0"/>
          <w:numId w:val="1"/>
        </w:numPr>
        <w:spacing w:after="240"/>
        <w:ind w:hanging="720"/>
        <w:contextualSpacing w:val="0"/>
        <w:rPr>
          <w:rFonts w:ascii="Arial" w:hAnsi="Arial" w:cs="Arial"/>
        </w:rPr>
      </w:pPr>
      <w:r w:rsidRPr="00BE1070">
        <w:rPr>
          <w:rFonts w:ascii="Arial" w:hAnsi="Arial" w:cs="Arial"/>
          <w:highlight w:val="yellow"/>
        </w:rPr>
        <w:t>[</w:t>
      </w:r>
      <w:r w:rsidR="00BE1070">
        <w:rPr>
          <w:rFonts w:ascii="Arial" w:hAnsi="Arial" w:cs="Arial"/>
          <w:highlight w:val="yellow"/>
        </w:rPr>
        <w:t>Bref exposé de la situation de départ et de la mesure d’aménagement qui fait naître l’obligation de s’acquitter d’une taxe sur la plus-value</w:t>
      </w:r>
      <w:r w:rsidR="005F41A4" w:rsidRPr="00BE1070">
        <w:rPr>
          <w:rFonts w:ascii="Arial" w:hAnsi="Arial" w:cs="Arial"/>
          <w:highlight w:val="yellow"/>
        </w:rPr>
        <w:t>]</w:t>
      </w:r>
    </w:p>
    <w:p w:rsidR="009C0EF0" w:rsidRPr="00BE1070" w:rsidRDefault="009C0EF0" w:rsidP="001A2BDE">
      <w:pPr>
        <w:pStyle w:val="Listenabsatz"/>
        <w:numPr>
          <w:ilvl w:val="0"/>
          <w:numId w:val="1"/>
        </w:numPr>
        <w:spacing w:after="240"/>
        <w:ind w:hanging="720"/>
        <w:contextualSpacing w:val="0"/>
        <w:rPr>
          <w:rFonts w:ascii="Arial" w:hAnsi="Arial" w:cs="Arial"/>
        </w:rPr>
      </w:pPr>
      <w:r w:rsidRPr="00BE1070">
        <w:rPr>
          <w:rFonts w:ascii="Arial" w:hAnsi="Arial" w:cs="Arial"/>
          <w:highlight w:val="yellow"/>
        </w:rPr>
        <w:t>[</w:t>
      </w:r>
      <w:r w:rsidR="00BE1070">
        <w:rPr>
          <w:rFonts w:ascii="Arial" w:hAnsi="Arial" w:cs="Arial"/>
          <w:highlight w:val="yellow"/>
        </w:rPr>
        <w:t xml:space="preserve">Bref exposé des </w:t>
      </w:r>
      <w:r w:rsidR="006521E2">
        <w:rPr>
          <w:rFonts w:ascii="Arial" w:hAnsi="Arial" w:cs="Arial"/>
          <w:highlight w:val="yellow"/>
        </w:rPr>
        <w:t>démarches entreprises</w:t>
      </w:r>
      <w:r w:rsidR="00BE1070">
        <w:rPr>
          <w:rFonts w:ascii="Arial" w:hAnsi="Arial" w:cs="Arial"/>
          <w:highlight w:val="yellow"/>
        </w:rPr>
        <w:t xml:space="preserve"> (p. ex. estimation, expertises) pour calculer la plus-value</w:t>
      </w:r>
      <w:r w:rsidR="009E5BF7">
        <w:rPr>
          <w:rFonts w:ascii="Arial" w:hAnsi="Arial" w:cs="Arial"/>
          <w:highlight w:val="yellow"/>
        </w:rPr>
        <w:t xml:space="preserve"> résultant de la mesure d’aménagement</w:t>
      </w:r>
      <w:r w:rsidRPr="00BE1070">
        <w:rPr>
          <w:rFonts w:ascii="Arial" w:hAnsi="Arial" w:cs="Arial"/>
          <w:highlight w:val="yellow"/>
        </w:rPr>
        <w:t>]</w:t>
      </w:r>
    </w:p>
    <w:p w:rsidR="005F41A4" w:rsidRPr="00BE1070" w:rsidRDefault="00BE1070" w:rsidP="005F41A4">
      <w:pPr>
        <w:pStyle w:val="Listenabsatz"/>
        <w:spacing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Par courrier du </w:t>
      </w:r>
      <w:r w:rsidRPr="00BE1070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, la commune a </w:t>
      </w:r>
      <w:r w:rsidR="00236994">
        <w:rPr>
          <w:rFonts w:ascii="Arial" w:hAnsi="Arial" w:cs="Arial"/>
        </w:rPr>
        <w:t>informé le</w:t>
      </w:r>
      <w:r>
        <w:rPr>
          <w:rFonts w:ascii="Arial" w:hAnsi="Arial" w:cs="Arial"/>
        </w:rPr>
        <w:t xml:space="preserve"> propriétaire foncier</w:t>
      </w:r>
      <w:r w:rsidR="00236994">
        <w:rPr>
          <w:rFonts w:ascii="Arial" w:hAnsi="Arial" w:cs="Arial"/>
        </w:rPr>
        <w:t>/</w:t>
      </w:r>
      <w:r w:rsidR="001C41DB">
        <w:rPr>
          <w:rFonts w:ascii="Arial" w:hAnsi="Arial" w:cs="Arial"/>
        </w:rPr>
        <w:t>la propriétaire foncière</w:t>
      </w:r>
      <w:r>
        <w:rPr>
          <w:rFonts w:ascii="Arial" w:hAnsi="Arial" w:cs="Arial"/>
        </w:rPr>
        <w:t xml:space="preserve"> </w:t>
      </w:r>
      <w:r w:rsidR="00236994">
        <w:rPr>
          <w:rFonts w:ascii="Arial" w:hAnsi="Arial" w:cs="Arial"/>
        </w:rPr>
        <w:t>qu’il/elle devrait s’acquitter d’une taxe sur la plus-value</w:t>
      </w:r>
      <w:r>
        <w:rPr>
          <w:rFonts w:ascii="Arial" w:hAnsi="Arial" w:cs="Arial"/>
        </w:rPr>
        <w:t xml:space="preserve"> et </w:t>
      </w:r>
      <w:r w:rsidR="00236994">
        <w:rPr>
          <w:rFonts w:ascii="Arial" w:hAnsi="Arial" w:cs="Arial"/>
        </w:rPr>
        <w:t xml:space="preserve">lui a donné </w:t>
      </w:r>
      <w:r w:rsidR="00143B3B">
        <w:rPr>
          <w:rFonts w:ascii="Arial" w:hAnsi="Arial" w:cs="Arial"/>
        </w:rPr>
        <w:t>la possibilité</w:t>
      </w:r>
      <w:r w:rsidR="00236994">
        <w:rPr>
          <w:rFonts w:ascii="Arial" w:hAnsi="Arial" w:cs="Arial"/>
        </w:rPr>
        <w:t xml:space="preserve"> de s’exprimer jusqu’au </w:t>
      </w:r>
      <w:r w:rsidR="00236994" w:rsidRPr="00236994">
        <w:rPr>
          <w:rFonts w:ascii="Arial" w:hAnsi="Arial" w:cs="Arial"/>
          <w:highlight w:val="yellow"/>
        </w:rPr>
        <w:t>XXX</w:t>
      </w:r>
      <w:r w:rsidR="00236994">
        <w:rPr>
          <w:rFonts w:ascii="Arial" w:hAnsi="Arial" w:cs="Arial"/>
        </w:rPr>
        <w:t xml:space="preserve"> à ce sujet</w:t>
      </w:r>
      <w:r>
        <w:rPr>
          <w:rFonts w:ascii="Arial" w:hAnsi="Arial" w:cs="Arial"/>
        </w:rPr>
        <w:t>. Le</w:t>
      </w:r>
      <w:r w:rsidR="001C41DB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propriétaire a fait usage de cette possibilité dans sa prise de position du </w:t>
      </w:r>
      <w:r w:rsidR="005F41A4" w:rsidRPr="00BE1070">
        <w:rPr>
          <w:rFonts w:ascii="Arial" w:hAnsi="Arial" w:cs="Arial"/>
          <w:highlight w:val="yellow"/>
        </w:rPr>
        <w:t>XXX</w:t>
      </w:r>
      <w:r w:rsidR="005D3F96" w:rsidRPr="00BE1070">
        <w:rPr>
          <w:rFonts w:ascii="Arial" w:hAnsi="Arial" w:cs="Arial"/>
        </w:rPr>
        <w:t>.</w:t>
      </w:r>
    </w:p>
    <w:p w:rsidR="005F41A4" w:rsidRPr="00BE1070" w:rsidRDefault="00BE1070" w:rsidP="00D638A2">
      <w:pPr>
        <w:pStyle w:val="Listenabsatz"/>
        <w:numPr>
          <w:ilvl w:val="0"/>
          <w:numId w:val="1"/>
        </w:numPr>
        <w:spacing w:after="240"/>
        <w:ind w:hanging="720"/>
        <w:contextualSpacing w:val="0"/>
        <w:rPr>
          <w:rFonts w:ascii="Arial" w:hAnsi="Arial" w:cs="Arial"/>
        </w:rPr>
      </w:pPr>
      <w:r w:rsidRPr="00BE1070">
        <w:rPr>
          <w:rFonts w:ascii="Arial" w:hAnsi="Arial" w:cs="Arial"/>
        </w:rPr>
        <w:t xml:space="preserve">Le </w:t>
      </w:r>
      <w:r w:rsidRPr="00BE1070">
        <w:rPr>
          <w:rFonts w:ascii="Arial" w:hAnsi="Arial" w:cs="Arial"/>
          <w:highlight w:val="yellow"/>
        </w:rPr>
        <w:t>XXX</w:t>
      </w:r>
      <w:r w:rsidRPr="00BE1070">
        <w:rPr>
          <w:rFonts w:ascii="Arial" w:hAnsi="Arial" w:cs="Arial"/>
        </w:rPr>
        <w:t>, l’Office des affaires communales et de l’organisation du territoire (OACOT) a approuvé l</w:t>
      </w:r>
      <w:r w:rsidR="00031C45">
        <w:rPr>
          <w:rFonts w:ascii="Arial" w:hAnsi="Arial" w:cs="Arial"/>
        </w:rPr>
        <w:t>a mesure d</w:t>
      </w:r>
      <w:r w:rsidRPr="00BE1070">
        <w:rPr>
          <w:rFonts w:ascii="Arial" w:hAnsi="Arial" w:cs="Arial"/>
        </w:rPr>
        <w:t>’aménagement, l</w:t>
      </w:r>
      <w:r w:rsidR="00031C45">
        <w:rPr>
          <w:rFonts w:ascii="Arial" w:hAnsi="Arial" w:cs="Arial"/>
        </w:rPr>
        <w:t>a</w:t>
      </w:r>
      <w:r w:rsidRPr="00BE1070">
        <w:rPr>
          <w:rFonts w:ascii="Arial" w:hAnsi="Arial" w:cs="Arial"/>
        </w:rPr>
        <w:t>quel</w:t>
      </w:r>
      <w:r w:rsidR="00031C45">
        <w:rPr>
          <w:rFonts w:ascii="Arial" w:hAnsi="Arial" w:cs="Arial"/>
        </w:rPr>
        <w:t>le</w:t>
      </w:r>
      <w:r w:rsidRPr="00BE1070">
        <w:rPr>
          <w:rFonts w:ascii="Arial" w:hAnsi="Arial" w:cs="Arial"/>
        </w:rPr>
        <w:t xml:space="preserve"> est entré</w:t>
      </w:r>
      <w:r w:rsidR="00031C45">
        <w:rPr>
          <w:rFonts w:ascii="Arial" w:hAnsi="Arial" w:cs="Arial"/>
        </w:rPr>
        <w:t>e</w:t>
      </w:r>
      <w:r w:rsidRPr="00BE1070">
        <w:rPr>
          <w:rFonts w:ascii="Arial" w:hAnsi="Arial" w:cs="Arial"/>
        </w:rPr>
        <w:t xml:space="preserve"> en force le </w:t>
      </w:r>
      <w:r w:rsidRPr="00BE1070">
        <w:rPr>
          <w:rFonts w:ascii="Arial" w:hAnsi="Arial" w:cs="Arial"/>
          <w:highlight w:val="yellow"/>
        </w:rPr>
        <w:t>XXX</w:t>
      </w:r>
      <w:r w:rsidRPr="00BE1070">
        <w:rPr>
          <w:rFonts w:ascii="Arial" w:hAnsi="Arial" w:cs="Arial"/>
        </w:rPr>
        <w:t xml:space="preserve">. </w:t>
      </w:r>
    </w:p>
    <w:p w:rsidR="005F41A4" w:rsidRPr="00BE1070" w:rsidRDefault="00BE1070" w:rsidP="005F41A4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Considérants</w:t>
      </w:r>
      <w:r w:rsidR="00D237B5">
        <w:rPr>
          <w:rFonts w:ascii="Arial" w:hAnsi="Arial" w:cs="Arial"/>
          <w:b/>
        </w:rPr>
        <w:t>:</w:t>
      </w:r>
    </w:p>
    <w:p w:rsidR="009C0EF0" w:rsidRPr="00BE1070" w:rsidRDefault="003F1945" w:rsidP="005F41A4">
      <w:pPr>
        <w:pStyle w:val="Listenabsatz"/>
        <w:numPr>
          <w:ilvl w:val="0"/>
          <w:numId w:val="2"/>
        </w:numPr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En application de l’article</w:t>
      </w:r>
      <w:r w:rsidR="001A2BDE" w:rsidRPr="00BE1070">
        <w:rPr>
          <w:rFonts w:ascii="Arial" w:hAnsi="Arial" w:cs="Arial"/>
        </w:rPr>
        <w:t> 142</w:t>
      </w:r>
      <w:r>
        <w:rPr>
          <w:rFonts w:ascii="Arial" w:hAnsi="Arial" w:cs="Arial"/>
        </w:rPr>
        <w:t>, alinéa 1 et de l’article</w:t>
      </w:r>
      <w:r w:rsidR="001A2BDE" w:rsidRPr="00BE1070">
        <w:rPr>
          <w:rFonts w:ascii="Arial" w:hAnsi="Arial" w:cs="Arial"/>
        </w:rPr>
        <w:t> 142a</w:t>
      </w:r>
      <w:r>
        <w:rPr>
          <w:rFonts w:ascii="Arial" w:hAnsi="Arial" w:cs="Arial"/>
        </w:rPr>
        <w:t>, alinéa</w:t>
      </w:r>
      <w:r w:rsidR="001A2BDE" w:rsidRPr="00BE1070">
        <w:rPr>
          <w:rFonts w:ascii="Arial" w:hAnsi="Arial" w:cs="Arial"/>
        </w:rPr>
        <w:t xml:space="preserve"> 1 </w:t>
      </w:r>
      <w:r w:rsidR="00E803FE" w:rsidRPr="00BE1070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la loi du 9 juin 1985 sur les constructions </w:t>
      </w:r>
      <w:r w:rsidR="001A2BDE" w:rsidRPr="00BE1070">
        <w:rPr>
          <w:rFonts w:ascii="Arial" w:hAnsi="Arial" w:cs="Arial"/>
        </w:rPr>
        <w:t>(</w:t>
      </w:r>
      <w:r>
        <w:rPr>
          <w:rFonts w:ascii="Arial" w:hAnsi="Arial" w:cs="Arial"/>
        </w:rPr>
        <w:t>LC</w:t>
      </w:r>
      <w:r w:rsidR="00D237B5">
        <w:rPr>
          <w:rFonts w:ascii="Arial" w:hAnsi="Arial" w:cs="Arial"/>
        </w:rPr>
        <w:t>;</w:t>
      </w:r>
      <w:r w:rsidR="001A2BDE" w:rsidRPr="00BE10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RSB</w:t>
      </w:r>
      <w:r w:rsidR="001A2BDE" w:rsidRPr="00BE1070">
        <w:rPr>
          <w:rFonts w:ascii="Arial" w:hAnsi="Arial" w:cs="Arial"/>
        </w:rPr>
        <w:t xml:space="preserve"> 721.0) </w:t>
      </w:r>
      <w:r>
        <w:rPr>
          <w:rFonts w:ascii="Arial" w:hAnsi="Arial" w:cs="Arial"/>
        </w:rPr>
        <w:t>ainsi que de l’</w:t>
      </w:r>
      <w:r>
        <w:rPr>
          <w:rFonts w:ascii="Arial" w:hAnsi="Arial" w:cs="Arial"/>
          <w:highlight w:val="magenta"/>
        </w:rPr>
        <w:t>a</w:t>
      </w:r>
      <w:r w:rsidR="001A2BDE" w:rsidRPr="00BE1070">
        <w:rPr>
          <w:rFonts w:ascii="Arial" w:hAnsi="Arial" w:cs="Arial"/>
          <w:highlight w:val="magenta"/>
        </w:rPr>
        <w:t>rt</w:t>
      </w:r>
      <w:r>
        <w:rPr>
          <w:rFonts w:ascii="Arial" w:hAnsi="Arial" w:cs="Arial"/>
          <w:highlight w:val="magenta"/>
        </w:rPr>
        <w:t>icle</w:t>
      </w:r>
      <w:r w:rsidR="001A2BDE" w:rsidRPr="00BE1070">
        <w:rPr>
          <w:rFonts w:ascii="Arial" w:hAnsi="Arial" w:cs="Arial"/>
          <w:highlight w:val="magenta"/>
        </w:rPr>
        <w:t> </w:t>
      </w:r>
      <w:r w:rsidR="00CE76C6" w:rsidRPr="00BE1070">
        <w:rPr>
          <w:rFonts w:ascii="Arial" w:hAnsi="Arial" w:cs="Arial"/>
          <w:highlight w:val="magenta"/>
        </w:rPr>
        <w:t>1</w:t>
      </w:r>
      <w:r>
        <w:rPr>
          <w:rFonts w:ascii="Arial" w:hAnsi="Arial" w:cs="Arial"/>
          <w:highlight w:val="magenta"/>
        </w:rPr>
        <w:t>, alinéa</w:t>
      </w:r>
      <w:r w:rsidR="00CE76C6" w:rsidRPr="00BE1070">
        <w:rPr>
          <w:rFonts w:ascii="Arial" w:hAnsi="Arial" w:cs="Arial"/>
          <w:highlight w:val="magenta"/>
        </w:rPr>
        <w:t> 1</w:t>
      </w:r>
      <w:r>
        <w:rPr>
          <w:rFonts w:ascii="Arial" w:hAnsi="Arial" w:cs="Arial"/>
          <w:highlight w:val="magenta"/>
        </w:rPr>
        <w:t>, let</w:t>
      </w:r>
      <w:r w:rsidR="003324CB">
        <w:rPr>
          <w:rFonts w:ascii="Arial" w:hAnsi="Arial" w:cs="Arial"/>
          <w:highlight w:val="magenta"/>
        </w:rPr>
        <w:t>tre</w:t>
      </w:r>
      <w:r w:rsidR="00CE76C6" w:rsidRPr="00BE1070">
        <w:rPr>
          <w:rFonts w:ascii="Arial" w:hAnsi="Arial" w:cs="Arial"/>
          <w:highlight w:val="magenta"/>
        </w:rPr>
        <w:t> </w:t>
      </w:r>
      <w:r w:rsidR="00CE76C6" w:rsidRPr="001C41DB">
        <w:rPr>
          <w:rFonts w:ascii="Arial" w:hAnsi="Arial" w:cs="Arial"/>
          <w:i/>
          <w:highlight w:val="magenta"/>
        </w:rPr>
        <w:t>a</w:t>
      </w:r>
      <w:r w:rsidR="00CE76C6" w:rsidRPr="00BE1070">
        <w:rPr>
          <w:rFonts w:ascii="Arial" w:hAnsi="Arial" w:cs="Arial"/>
        </w:rPr>
        <w:t xml:space="preserve"> </w:t>
      </w:r>
      <w:r w:rsidR="001A2BDE" w:rsidRPr="00BE107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 règlement du </w:t>
      </w:r>
      <w:r w:rsidRPr="003F1945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 relatif à la taxe sur la plus-value (ci-après RTPV), les propriétaires fonciers</w:t>
      </w:r>
      <w:r w:rsidR="00C71B1F">
        <w:rPr>
          <w:rFonts w:ascii="Arial" w:hAnsi="Arial" w:cs="Arial"/>
        </w:rPr>
        <w:t xml:space="preserve"> qui, à la suite d’un classement en zone à bâtir, réalisent une plus-value</w:t>
      </w:r>
      <w:r w:rsidR="008512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sont tenus de s’acquitter d’une taxe.</w:t>
      </w:r>
      <w:r w:rsidR="00436E91" w:rsidRPr="00BE1070">
        <w:rPr>
          <w:rFonts w:ascii="Arial" w:hAnsi="Arial" w:cs="Arial"/>
        </w:rPr>
        <w:t xml:space="preserve"> </w:t>
      </w:r>
    </w:p>
    <w:p w:rsidR="005F41A4" w:rsidRPr="00BE1070" w:rsidRDefault="003F1945" w:rsidP="005F41A4">
      <w:pPr>
        <w:pStyle w:val="Listenabsatz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La plus-value </w:t>
      </w:r>
      <w:r w:rsidR="001D61F5">
        <w:rPr>
          <w:rFonts w:ascii="Arial" w:hAnsi="Arial" w:cs="Arial"/>
        </w:rPr>
        <w:t xml:space="preserve">résultant de mesures d’aménagement </w:t>
      </w:r>
      <w:r>
        <w:rPr>
          <w:rFonts w:ascii="Arial" w:hAnsi="Arial" w:cs="Arial"/>
        </w:rPr>
        <w:t xml:space="preserve">correspond à la différence entre la valeur vénale d’un terrain avant et après un remaniement des plans. Elle doit être évaluée à l’aide de méthodes éprouvées </w:t>
      </w:r>
      <w:r w:rsidR="00BB0209">
        <w:rPr>
          <w:rFonts w:ascii="Arial" w:hAnsi="Arial" w:cs="Arial"/>
        </w:rPr>
        <w:t>(a</w:t>
      </w:r>
      <w:r w:rsidR="00436E91" w:rsidRPr="00BE1070">
        <w:rPr>
          <w:rFonts w:ascii="Arial" w:hAnsi="Arial" w:cs="Arial"/>
        </w:rPr>
        <w:t>rt. 142b</w:t>
      </w:r>
      <w:r w:rsidR="00BB0209">
        <w:rPr>
          <w:rFonts w:ascii="Arial" w:hAnsi="Arial" w:cs="Arial"/>
        </w:rPr>
        <w:t>, al</w:t>
      </w:r>
      <w:r w:rsidR="00436E91" w:rsidRPr="00BE1070">
        <w:rPr>
          <w:rFonts w:ascii="Arial" w:hAnsi="Arial" w:cs="Arial"/>
        </w:rPr>
        <w:t xml:space="preserve">. 1 </w:t>
      </w:r>
      <w:r w:rsidR="00BB0209">
        <w:rPr>
          <w:rFonts w:ascii="Arial" w:hAnsi="Arial" w:cs="Arial"/>
        </w:rPr>
        <w:t>LC</w:t>
      </w:r>
      <w:r w:rsidR="00436E91" w:rsidRPr="00BE1070">
        <w:rPr>
          <w:rFonts w:ascii="Arial" w:hAnsi="Arial" w:cs="Arial"/>
        </w:rPr>
        <w:t xml:space="preserve">). </w:t>
      </w:r>
      <w:r w:rsidR="00BB0209">
        <w:rPr>
          <w:rFonts w:ascii="Arial" w:hAnsi="Arial" w:cs="Arial"/>
        </w:rPr>
        <w:t xml:space="preserve">Si la plus-value se monte à moins de 20 000 francs, la taxe n’est pas perçue </w:t>
      </w:r>
      <w:r w:rsidR="005F41A4" w:rsidRPr="00BE1070">
        <w:rPr>
          <w:rFonts w:ascii="Arial" w:hAnsi="Arial" w:cs="Arial"/>
        </w:rPr>
        <w:t>(</w:t>
      </w:r>
      <w:r w:rsidR="00BB0209">
        <w:rPr>
          <w:rFonts w:ascii="Arial" w:hAnsi="Arial" w:cs="Arial"/>
        </w:rPr>
        <w:t>a</w:t>
      </w:r>
      <w:r w:rsidR="005F41A4" w:rsidRPr="00BE1070">
        <w:rPr>
          <w:rFonts w:ascii="Arial" w:hAnsi="Arial" w:cs="Arial"/>
        </w:rPr>
        <w:t>rt. 142a</w:t>
      </w:r>
      <w:r w:rsidR="00BB0209">
        <w:rPr>
          <w:rFonts w:ascii="Arial" w:hAnsi="Arial" w:cs="Arial"/>
        </w:rPr>
        <w:t>, al</w:t>
      </w:r>
      <w:r w:rsidR="005F41A4" w:rsidRPr="00BE1070">
        <w:rPr>
          <w:rFonts w:ascii="Arial" w:hAnsi="Arial" w:cs="Arial"/>
        </w:rPr>
        <w:t xml:space="preserve">. 4 </w:t>
      </w:r>
      <w:r w:rsidR="00BB0209">
        <w:rPr>
          <w:rFonts w:ascii="Arial" w:hAnsi="Arial" w:cs="Arial"/>
        </w:rPr>
        <w:t>LC et</w:t>
      </w:r>
      <w:r w:rsidR="005F41A4" w:rsidRPr="00BE1070">
        <w:rPr>
          <w:rFonts w:ascii="Arial" w:hAnsi="Arial" w:cs="Arial"/>
        </w:rPr>
        <w:t xml:space="preserve"> </w:t>
      </w:r>
      <w:r w:rsidR="00BB0209">
        <w:rPr>
          <w:rFonts w:ascii="Arial" w:hAnsi="Arial" w:cs="Arial"/>
          <w:highlight w:val="magenta"/>
        </w:rPr>
        <w:t>a</w:t>
      </w:r>
      <w:r w:rsidR="005F41A4" w:rsidRPr="00BE1070">
        <w:rPr>
          <w:rFonts w:ascii="Arial" w:hAnsi="Arial" w:cs="Arial"/>
          <w:highlight w:val="magenta"/>
        </w:rPr>
        <w:t>rt. </w:t>
      </w:r>
      <w:r w:rsidR="00CE76C6" w:rsidRPr="00BE1070">
        <w:rPr>
          <w:rFonts w:ascii="Arial" w:hAnsi="Arial" w:cs="Arial"/>
          <w:highlight w:val="magenta"/>
        </w:rPr>
        <w:t>1</w:t>
      </w:r>
      <w:r w:rsidR="00BB0209">
        <w:rPr>
          <w:rFonts w:ascii="Arial" w:hAnsi="Arial" w:cs="Arial"/>
          <w:highlight w:val="magenta"/>
        </w:rPr>
        <w:t>, al</w:t>
      </w:r>
      <w:r w:rsidR="00CE76C6" w:rsidRPr="00BE1070">
        <w:rPr>
          <w:rFonts w:ascii="Arial" w:hAnsi="Arial" w:cs="Arial"/>
          <w:highlight w:val="magenta"/>
        </w:rPr>
        <w:t>. 2</w:t>
      </w:r>
      <w:r w:rsidR="005F41A4" w:rsidRPr="00BE1070">
        <w:rPr>
          <w:rFonts w:ascii="Arial" w:hAnsi="Arial" w:cs="Arial"/>
        </w:rPr>
        <w:t xml:space="preserve"> </w:t>
      </w:r>
      <w:r w:rsidR="00BB0209">
        <w:rPr>
          <w:rFonts w:ascii="Arial" w:hAnsi="Arial" w:cs="Arial"/>
        </w:rPr>
        <w:t>RTPV</w:t>
      </w:r>
      <w:r w:rsidR="005F41A4" w:rsidRPr="00BE1070">
        <w:rPr>
          <w:rFonts w:ascii="Arial" w:hAnsi="Arial" w:cs="Arial"/>
        </w:rPr>
        <w:t>).</w:t>
      </w:r>
    </w:p>
    <w:p w:rsidR="001A2BDE" w:rsidRPr="00BE1070" w:rsidRDefault="006521E2" w:rsidP="005F41A4">
      <w:pPr>
        <w:pStyle w:val="Listenabsatz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Le taux de la taxe sur la plus-value s’élève à </w:t>
      </w:r>
      <w:r w:rsidRPr="00EC7CE2">
        <w:rPr>
          <w:rFonts w:ascii="Arial" w:hAnsi="Arial" w:cs="Arial"/>
          <w:highlight w:val="yellow"/>
        </w:rPr>
        <w:t>XXX</w:t>
      </w:r>
      <w:r w:rsidR="0008253C">
        <w:rPr>
          <w:rFonts w:ascii="Arial" w:hAnsi="Arial" w:cs="Arial"/>
        </w:rPr>
        <w:t xml:space="preserve"> pour</w:t>
      </w:r>
      <w:r w:rsidR="00C03772">
        <w:rPr>
          <w:rFonts w:ascii="Arial" w:hAnsi="Arial" w:cs="Arial"/>
        </w:rPr>
        <w:t xml:space="preserve"> cent</w:t>
      </w:r>
      <w:r>
        <w:rPr>
          <w:rFonts w:ascii="Arial" w:hAnsi="Arial" w:cs="Arial"/>
        </w:rPr>
        <w:t xml:space="preserve"> de la plus-value lorsque la taxe est exigible dans les cinq années suivant l’entrée en force du classement, à </w:t>
      </w:r>
      <w:r w:rsidRPr="000B7ECB">
        <w:rPr>
          <w:rFonts w:ascii="Arial" w:hAnsi="Arial" w:cs="Arial"/>
          <w:highlight w:val="yellow"/>
        </w:rPr>
        <w:t>XXX + 5</w:t>
      </w:r>
      <w:r w:rsidR="00C03772">
        <w:rPr>
          <w:rFonts w:ascii="Arial" w:hAnsi="Arial" w:cs="Arial"/>
        </w:rPr>
        <w:t xml:space="preserve"> pour cent</w:t>
      </w:r>
      <w:r>
        <w:rPr>
          <w:rFonts w:ascii="Arial" w:hAnsi="Arial" w:cs="Arial"/>
        </w:rPr>
        <w:t xml:space="preserve"> de la plus-value lorsque la taxe est exigible de la sixième à la dixième année suivant l’entrée en force du classement et à </w:t>
      </w:r>
      <w:r w:rsidRPr="000B7ECB">
        <w:rPr>
          <w:rFonts w:ascii="Arial" w:hAnsi="Arial" w:cs="Arial"/>
          <w:highlight w:val="yellow"/>
        </w:rPr>
        <w:t>XXX + 10</w:t>
      </w:r>
      <w:r w:rsidR="00C03772">
        <w:rPr>
          <w:rFonts w:ascii="Arial" w:hAnsi="Arial" w:cs="Arial"/>
        </w:rPr>
        <w:t xml:space="preserve"> pour cent</w:t>
      </w:r>
      <w:r>
        <w:rPr>
          <w:rFonts w:ascii="Arial" w:hAnsi="Arial" w:cs="Arial"/>
        </w:rPr>
        <w:t xml:space="preserve"> de la plus-value lorsque la taxe est exigible à partir de la onzième année suivant l’</w:t>
      </w:r>
      <w:r w:rsidR="00031C45">
        <w:rPr>
          <w:rFonts w:ascii="Arial" w:hAnsi="Arial" w:cs="Arial"/>
        </w:rPr>
        <w:t>entrée en force du classe</w:t>
      </w:r>
      <w:r>
        <w:rPr>
          <w:rFonts w:ascii="Arial" w:hAnsi="Arial" w:cs="Arial"/>
        </w:rPr>
        <w:t>ment</w:t>
      </w:r>
      <w:r w:rsidR="00031C45">
        <w:rPr>
          <w:rFonts w:ascii="Arial" w:hAnsi="Arial" w:cs="Arial"/>
        </w:rPr>
        <w:t xml:space="preserve"> </w:t>
      </w:r>
      <w:r w:rsidR="009C0EF0" w:rsidRPr="00BE1070">
        <w:rPr>
          <w:rFonts w:ascii="Arial" w:hAnsi="Arial" w:cs="Arial"/>
        </w:rPr>
        <w:t>(</w:t>
      </w:r>
      <w:r>
        <w:rPr>
          <w:rFonts w:ascii="Arial" w:hAnsi="Arial" w:cs="Arial"/>
          <w:highlight w:val="magenta"/>
        </w:rPr>
        <w:t>a</w:t>
      </w:r>
      <w:r w:rsidR="009C0EF0" w:rsidRPr="00BE1070">
        <w:rPr>
          <w:rFonts w:ascii="Arial" w:hAnsi="Arial" w:cs="Arial"/>
          <w:highlight w:val="magenta"/>
        </w:rPr>
        <w:t>rt. </w:t>
      </w:r>
      <w:r w:rsidR="00CE76C6" w:rsidRPr="00BE1070">
        <w:rPr>
          <w:rFonts w:ascii="Arial" w:hAnsi="Arial" w:cs="Arial"/>
          <w:highlight w:val="magenta"/>
        </w:rPr>
        <w:t>2</w:t>
      </w:r>
      <w:r>
        <w:rPr>
          <w:rFonts w:ascii="Arial" w:hAnsi="Arial" w:cs="Arial"/>
          <w:highlight w:val="magenta"/>
        </w:rPr>
        <w:t>, al</w:t>
      </w:r>
      <w:r w:rsidR="00CE76C6" w:rsidRPr="00BE1070">
        <w:rPr>
          <w:rFonts w:ascii="Arial" w:hAnsi="Arial" w:cs="Arial"/>
          <w:highlight w:val="magenta"/>
        </w:rPr>
        <w:t>. 1</w:t>
      </w:r>
      <w:r>
        <w:rPr>
          <w:rFonts w:ascii="Arial" w:hAnsi="Arial" w:cs="Arial"/>
          <w:highlight w:val="magenta"/>
        </w:rPr>
        <w:t xml:space="preserve">, </w:t>
      </w:r>
      <w:r w:rsidR="00D237B5">
        <w:rPr>
          <w:rFonts w:ascii="Arial" w:hAnsi="Arial" w:cs="Arial"/>
          <w:highlight w:val="magenta"/>
        </w:rPr>
        <w:t>lit.</w:t>
      </w:r>
      <w:r w:rsidR="00CE76C6" w:rsidRPr="00BE1070">
        <w:rPr>
          <w:rFonts w:ascii="Arial" w:hAnsi="Arial" w:cs="Arial"/>
          <w:highlight w:val="magenta"/>
        </w:rPr>
        <w:t> </w:t>
      </w:r>
      <w:r w:rsidR="00CE76C6" w:rsidRPr="002D6E7F">
        <w:rPr>
          <w:rFonts w:ascii="Arial" w:hAnsi="Arial" w:cs="Arial"/>
          <w:i/>
          <w:highlight w:val="magenta"/>
        </w:rPr>
        <w:t>a</w:t>
      </w:r>
      <w:r w:rsidR="009C0EF0" w:rsidRPr="00BE10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RTPV</w:t>
      </w:r>
      <w:r w:rsidR="009C0EF0" w:rsidRPr="00BE1070">
        <w:rPr>
          <w:rFonts w:ascii="Arial" w:hAnsi="Arial" w:cs="Arial"/>
        </w:rPr>
        <w:t>).</w:t>
      </w:r>
    </w:p>
    <w:p w:rsidR="009C0EF0" w:rsidRPr="00BE1070" w:rsidRDefault="006521E2" w:rsidP="005F41A4">
      <w:pPr>
        <w:pStyle w:val="Listenabsatz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La taxe sur la plus-value fait l’objet d’une décision rendue par</w:t>
      </w:r>
      <w:r w:rsidR="009C0EF0" w:rsidRPr="00BE1070">
        <w:rPr>
          <w:rFonts w:ascii="Arial" w:hAnsi="Arial" w:cs="Arial"/>
        </w:rPr>
        <w:t xml:space="preserve"> [</w:t>
      </w:r>
      <w:r>
        <w:rPr>
          <w:rFonts w:ascii="Arial" w:hAnsi="Arial" w:cs="Arial"/>
          <w:highlight w:val="yellow"/>
        </w:rPr>
        <w:t>l’organe compétent</w:t>
      </w:r>
      <w:r w:rsidR="009C0EF0" w:rsidRPr="00BE1070">
        <w:rPr>
          <w:rFonts w:ascii="Arial" w:hAnsi="Arial" w:cs="Arial"/>
        </w:rPr>
        <w:t>] (</w:t>
      </w:r>
      <w:r>
        <w:rPr>
          <w:rFonts w:ascii="Arial" w:hAnsi="Arial" w:cs="Arial"/>
        </w:rPr>
        <w:t>a</w:t>
      </w:r>
      <w:r w:rsidR="009C0EF0" w:rsidRPr="00BE1070">
        <w:rPr>
          <w:rFonts w:ascii="Arial" w:hAnsi="Arial" w:cs="Arial"/>
        </w:rPr>
        <w:t>rt. 142d</w:t>
      </w:r>
      <w:r>
        <w:rPr>
          <w:rFonts w:ascii="Arial" w:hAnsi="Arial" w:cs="Arial"/>
        </w:rPr>
        <w:t>, al</w:t>
      </w:r>
      <w:r w:rsidR="009C0EF0" w:rsidRPr="00BE1070">
        <w:rPr>
          <w:rFonts w:ascii="Arial" w:hAnsi="Arial" w:cs="Arial"/>
        </w:rPr>
        <w:t xml:space="preserve">. 1 </w:t>
      </w:r>
      <w:r>
        <w:rPr>
          <w:rFonts w:ascii="Arial" w:hAnsi="Arial" w:cs="Arial"/>
        </w:rPr>
        <w:t>LC et</w:t>
      </w:r>
      <w:r w:rsidR="009C0EF0" w:rsidRPr="00BE1070"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magenta"/>
        </w:rPr>
        <w:t>a</w:t>
      </w:r>
      <w:r w:rsidR="009C0EF0" w:rsidRPr="00BE1070">
        <w:rPr>
          <w:rFonts w:ascii="Arial" w:hAnsi="Arial" w:cs="Arial"/>
          <w:highlight w:val="magenta"/>
        </w:rPr>
        <w:t>rt. </w:t>
      </w:r>
      <w:r w:rsidR="00CE76C6" w:rsidRPr="00BE1070">
        <w:rPr>
          <w:rFonts w:ascii="Arial" w:hAnsi="Arial" w:cs="Arial"/>
          <w:highlight w:val="magenta"/>
        </w:rPr>
        <w:t>7</w:t>
      </w:r>
      <w:r>
        <w:rPr>
          <w:rFonts w:ascii="Arial" w:hAnsi="Arial" w:cs="Arial"/>
          <w:highlight w:val="magenta"/>
        </w:rPr>
        <w:t>, al</w:t>
      </w:r>
      <w:r w:rsidR="005D3F96" w:rsidRPr="00BE1070">
        <w:rPr>
          <w:rFonts w:ascii="Arial" w:hAnsi="Arial" w:cs="Arial"/>
          <w:highlight w:val="magenta"/>
        </w:rPr>
        <w:t>. 1</w:t>
      </w:r>
      <w:r w:rsidR="005F41A4" w:rsidRPr="00BE10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RTPV</w:t>
      </w:r>
      <w:r w:rsidR="005F41A4" w:rsidRPr="00BE1070">
        <w:rPr>
          <w:rFonts w:ascii="Arial" w:hAnsi="Arial" w:cs="Arial"/>
        </w:rPr>
        <w:t>).</w:t>
      </w:r>
    </w:p>
    <w:p w:rsidR="005F41A4" w:rsidRPr="00BE1070" w:rsidRDefault="005F41A4" w:rsidP="00CE76C6">
      <w:pPr>
        <w:pStyle w:val="Listenabsatz"/>
        <w:numPr>
          <w:ilvl w:val="0"/>
          <w:numId w:val="2"/>
        </w:numPr>
        <w:ind w:hanging="720"/>
        <w:contextualSpacing w:val="0"/>
        <w:rPr>
          <w:rFonts w:ascii="Arial" w:hAnsi="Arial" w:cs="Arial"/>
        </w:rPr>
      </w:pPr>
      <w:r w:rsidRPr="00BE1070">
        <w:rPr>
          <w:rFonts w:ascii="Arial" w:hAnsi="Arial" w:cs="Arial"/>
          <w:highlight w:val="yellow"/>
        </w:rPr>
        <w:lastRenderedPageBreak/>
        <w:t>[</w:t>
      </w:r>
      <w:r w:rsidR="006521E2">
        <w:rPr>
          <w:rFonts w:ascii="Arial" w:hAnsi="Arial" w:cs="Arial"/>
          <w:highlight w:val="yellow"/>
        </w:rPr>
        <w:t>Exposé d</w:t>
      </w:r>
      <w:r w:rsidR="003324CB">
        <w:rPr>
          <w:rFonts w:ascii="Arial" w:hAnsi="Arial" w:cs="Arial"/>
          <w:highlight w:val="yellow"/>
        </w:rPr>
        <w:t>es</w:t>
      </w:r>
      <w:r w:rsidR="006521E2">
        <w:rPr>
          <w:rFonts w:ascii="Arial" w:hAnsi="Arial" w:cs="Arial"/>
          <w:highlight w:val="yellow"/>
        </w:rPr>
        <w:t xml:space="preserve"> fait</w:t>
      </w:r>
      <w:r w:rsidR="003324CB">
        <w:rPr>
          <w:rFonts w:ascii="Arial" w:hAnsi="Arial" w:cs="Arial"/>
          <w:highlight w:val="yellow"/>
        </w:rPr>
        <w:t>s montrant</w:t>
      </w:r>
      <w:r w:rsidR="006521E2">
        <w:rPr>
          <w:rFonts w:ascii="Arial" w:hAnsi="Arial" w:cs="Arial"/>
          <w:highlight w:val="yellow"/>
        </w:rPr>
        <w:t xml:space="preserve"> que la mesure d’aménagement entraîne un classement en zone à bâtir pour le propriétaire foncier</w:t>
      </w:r>
      <w:r w:rsidR="00DA4645">
        <w:rPr>
          <w:rFonts w:ascii="Arial" w:hAnsi="Arial" w:cs="Arial"/>
          <w:highlight w:val="yellow"/>
        </w:rPr>
        <w:t>/la propriétaire foncière</w:t>
      </w:r>
      <w:r w:rsidRPr="00BE1070">
        <w:rPr>
          <w:rFonts w:ascii="Arial" w:hAnsi="Arial" w:cs="Arial"/>
          <w:highlight w:val="yellow"/>
        </w:rPr>
        <w:t>]</w:t>
      </w:r>
      <w:r w:rsidRPr="00BE1070">
        <w:rPr>
          <w:rFonts w:ascii="Arial" w:hAnsi="Arial" w:cs="Arial"/>
        </w:rPr>
        <w:t>.</w:t>
      </w:r>
    </w:p>
    <w:p w:rsidR="005F41A4" w:rsidRPr="003324CB" w:rsidRDefault="003324CB" w:rsidP="003324CB">
      <w:pPr>
        <w:pStyle w:val="Listenabsatz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Ce classement en zone à bâtir fait naître l’obligation de s’acquitter d’une taxe sur la plus-value conformément à l’article 142a, alinéa 1 LC et à l’</w:t>
      </w:r>
      <w:r>
        <w:rPr>
          <w:rFonts w:ascii="Arial" w:hAnsi="Arial" w:cs="Arial"/>
          <w:highlight w:val="magenta"/>
        </w:rPr>
        <w:t>a</w:t>
      </w:r>
      <w:r w:rsidR="005F41A4" w:rsidRPr="003324CB">
        <w:rPr>
          <w:rFonts w:ascii="Arial" w:hAnsi="Arial" w:cs="Arial"/>
          <w:highlight w:val="magenta"/>
        </w:rPr>
        <w:t>rt</w:t>
      </w:r>
      <w:r>
        <w:rPr>
          <w:rFonts w:ascii="Arial" w:hAnsi="Arial" w:cs="Arial"/>
          <w:highlight w:val="magenta"/>
        </w:rPr>
        <w:t>icle</w:t>
      </w:r>
      <w:r w:rsidR="005F41A4" w:rsidRPr="003324CB">
        <w:rPr>
          <w:rFonts w:ascii="Arial" w:hAnsi="Arial" w:cs="Arial"/>
          <w:highlight w:val="magenta"/>
        </w:rPr>
        <w:t> </w:t>
      </w:r>
      <w:r w:rsidR="00CE76C6" w:rsidRPr="003324CB">
        <w:rPr>
          <w:rFonts w:ascii="Arial" w:hAnsi="Arial" w:cs="Arial"/>
          <w:highlight w:val="magenta"/>
        </w:rPr>
        <w:t>1</w:t>
      </w:r>
      <w:r>
        <w:rPr>
          <w:rFonts w:ascii="Arial" w:hAnsi="Arial" w:cs="Arial"/>
          <w:highlight w:val="magenta"/>
        </w:rPr>
        <w:t>, alinéa</w:t>
      </w:r>
      <w:r w:rsidR="00CE76C6" w:rsidRPr="003324CB">
        <w:rPr>
          <w:rFonts w:ascii="Arial" w:hAnsi="Arial" w:cs="Arial"/>
          <w:highlight w:val="magenta"/>
        </w:rPr>
        <w:t xml:space="preserve"> 1</w:t>
      </w:r>
      <w:r>
        <w:rPr>
          <w:rFonts w:ascii="Arial" w:hAnsi="Arial" w:cs="Arial"/>
          <w:highlight w:val="magenta"/>
        </w:rPr>
        <w:t>, lettre</w:t>
      </w:r>
      <w:r w:rsidR="00CE76C6" w:rsidRPr="003324CB">
        <w:rPr>
          <w:rFonts w:ascii="Arial" w:hAnsi="Arial" w:cs="Arial"/>
          <w:highlight w:val="magenta"/>
        </w:rPr>
        <w:t> </w:t>
      </w:r>
      <w:r w:rsidR="00CE76C6" w:rsidRPr="001C41DB">
        <w:rPr>
          <w:rFonts w:ascii="Arial" w:hAnsi="Arial" w:cs="Arial"/>
          <w:i/>
          <w:highlight w:val="magenta"/>
        </w:rPr>
        <w:t>a</w:t>
      </w:r>
      <w:r w:rsidR="005F41A4" w:rsidRPr="003324CB">
        <w:rPr>
          <w:rFonts w:ascii="Arial" w:hAnsi="Arial" w:cs="Arial"/>
        </w:rPr>
        <w:t xml:space="preserve"> </w:t>
      </w:r>
      <w:r w:rsidR="006521E2" w:rsidRPr="003324CB">
        <w:rPr>
          <w:rFonts w:ascii="Arial" w:hAnsi="Arial" w:cs="Arial"/>
        </w:rPr>
        <w:t>RTPV</w:t>
      </w:r>
      <w:r w:rsidR="0064667D" w:rsidRPr="003324CB">
        <w:rPr>
          <w:rFonts w:ascii="Arial" w:hAnsi="Arial" w:cs="Arial"/>
        </w:rPr>
        <w:t>.</w:t>
      </w:r>
    </w:p>
    <w:p w:rsidR="00CE76C6" w:rsidRPr="00BE1070" w:rsidRDefault="00CE76C6" w:rsidP="00CE76C6">
      <w:pPr>
        <w:pStyle w:val="Listenabsatz"/>
        <w:numPr>
          <w:ilvl w:val="0"/>
          <w:numId w:val="2"/>
        </w:numPr>
        <w:ind w:hanging="720"/>
        <w:contextualSpacing w:val="0"/>
        <w:rPr>
          <w:rFonts w:ascii="Arial" w:hAnsi="Arial" w:cs="Arial"/>
        </w:rPr>
      </w:pPr>
      <w:r w:rsidRPr="00BE1070">
        <w:rPr>
          <w:rFonts w:ascii="Arial" w:hAnsi="Arial" w:cs="Arial"/>
          <w:highlight w:val="yellow"/>
        </w:rPr>
        <w:t>[</w:t>
      </w:r>
      <w:r w:rsidR="003324CB">
        <w:rPr>
          <w:rFonts w:ascii="Arial" w:hAnsi="Arial" w:cs="Arial"/>
          <w:highlight w:val="yellow"/>
        </w:rPr>
        <w:t>Exposé de l’estimation de la plus-value, avec référence au dossier et aux éventuelles objections du propriétaire foncier</w:t>
      </w:r>
      <w:r w:rsidRPr="00BE1070">
        <w:rPr>
          <w:rFonts w:ascii="Arial" w:hAnsi="Arial" w:cs="Arial"/>
          <w:highlight w:val="yellow"/>
        </w:rPr>
        <w:t>]</w:t>
      </w:r>
    </w:p>
    <w:p w:rsidR="005F41A4" w:rsidRPr="00BE1070" w:rsidRDefault="003324CB" w:rsidP="005F41A4">
      <w:pPr>
        <w:pStyle w:val="Listenabsatz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Pour les raisons qui précèdent, la plus-value est fixée à </w:t>
      </w:r>
      <w:r w:rsidR="00CE76C6" w:rsidRPr="00BE1070">
        <w:rPr>
          <w:rFonts w:ascii="Arial" w:hAnsi="Arial" w:cs="Arial"/>
          <w:highlight w:val="yellow"/>
        </w:rPr>
        <w:t>XXX</w:t>
      </w:r>
      <w:r w:rsidR="001C41DB">
        <w:rPr>
          <w:rFonts w:ascii="Arial" w:hAnsi="Arial" w:cs="Arial"/>
        </w:rPr>
        <w:t xml:space="preserve"> francs</w:t>
      </w:r>
      <w:r w:rsidR="00CE76C6" w:rsidRPr="00BE1070">
        <w:rPr>
          <w:rFonts w:ascii="Arial" w:hAnsi="Arial" w:cs="Arial"/>
        </w:rPr>
        <w:t xml:space="preserve">. </w:t>
      </w:r>
    </w:p>
    <w:p w:rsidR="00CE76C6" w:rsidRPr="00BE1070" w:rsidRDefault="003324CB" w:rsidP="00CE76C6">
      <w:pPr>
        <w:pStyle w:val="Listenabsatz"/>
        <w:numPr>
          <w:ilvl w:val="0"/>
          <w:numId w:val="2"/>
        </w:numPr>
        <w:spacing w:after="0"/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Conformément à l’</w:t>
      </w:r>
      <w:r>
        <w:rPr>
          <w:rFonts w:ascii="Arial" w:hAnsi="Arial" w:cs="Arial"/>
          <w:highlight w:val="magenta"/>
        </w:rPr>
        <w:t>article</w:t>
      </w:r>
      <w:r w:rsidRPr="00BE1070">
        <w:rPr>
          <w:rFonts w:ascii="Arial" w:hAnsi="Arial" w:cs="Arial"/>
          <w:highlight w:val="magenta"/>
        </w:rPr>
        <w:t> 2</w:t>
      </w:r>
      <w:r>
        <w:rPr>
          <w:rFonts w:ascii="Arial" w:hAnsi="Arial" w:cs="Arial"/>
          <w:highlight w:val="magenta"/>
        </w:rPr>
        <w:t>, alinéa</w:t>
      </w:r>
      <w:r w:rsidRPr="00BE1070">
        <w:rPr>
          <w:rFonts w:ascii="Arial" w:hAnsi="Arial" w:cs="Arial"/>
          <w:highlight w:val="magenta"/>
        </w:rPr>
        <w:t> 1</w:t>
      </w:r>
      <w:r>
        <w:rPr>
          <w:rFonts w:ascii="Arial" w:hAnsi="Arial" w:cs="Arial"/>
          <w:highlight w:val="magenta"/>
        </w:rPr>
        <w:t>, lettre</w:t>
      </w:r>
      <w:r w:rsidRPr="00BE1070">
        <w:rPr>
          <w:rFonts w:ascii="Arial" w:hAnsi="Arial" w:cs="Arial"/>
          <w:highlight w:val="magenta"/>
        </w:rPr>
        <w:t xml:space="preserve"> </w:t>
      </w:r>
      <w:r w:rsidRPr="001C41DB">
        <w:rPr>
          <w:rFonts w:ascii="Arial" w:hAnsi="Arial" w:cs="Arial"/>
          <w:i/>
          <w:highlight w:val="magenta"/>
        </w:rPr>
        <w:t>a</w:t>
      </w:r>
      <w:r w:rsidRPr="00BE10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RTPV, le montant de la taxe sur la plus-value est fixé comme suit</w:t>
      </w:r>
      <w:r w:rsidR="00D237B5">
        <w:rPr>
          <w:rFonts w:ascii="Arial" w:hAnsi="Arial" w:cs="Arial"/>
        </w:rPr>
        <w:t>:</w:t>
      </w:r>
    </w:p>
    <w:p w:rsidR="00CE76C6" w:rsidRPr="00BE1070" w:rsidRDefault="00D75D7A" w:rsidP="00CE76C6">
      <w:pPr>
        <w:pStyle w:val="Listenabsatz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BE1070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 </w:t>
      </w:r>
      <w:r w:rsidR="00C03772">
        <w:rPr>
          <w:rFonts w:ascii="Arial" w:hAnsi="Arial" w:cs="Arial"/>
        </w:rPr>
        <w:t xml:space="preserve">francs </w:t>
      </w:r>
      <w:r>
        <w:rPr>
          <w:rFonts w:ascii="Arial" w:hAnsi="Arial" w:cs="Arial"/>
        </w:rPr>
        <w:t>dans les cinq années suivant l’entrée en force du classement en zone à bâtir</w:t>
      </w:r>
      <w:r w:rsidR="00D237B5">
        <w:rPr>
          <w:rFonts w:ascii="Arial" w:hAnsi="Arial" w:cs="Arial"/>
        </w:rPr>
        <w:t>;</w:t>
      </w:r>
    </w:p>
    <w:p w:rsidR="00CE76C6" w:rsidRPr="00BE1070" w:rsidRDefault="00D75D7A" w:rsidP="00CE76C6">
      <w:pPr>
        <w:pStyle w:val="Listenabsatz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BE1070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 </w:t>
      </w:r>
      <w:r w:rsidR="00C03772">
        <w:rPr>
          <w:rFonts w:ascii="Arial" w:hAnsi="Arial" w:cs="Arial"/>
        </w:rPr>
        <w:t xml:space="preserve">francs </w:t>
      </w:r>
      <w:r>
        <w:rPr>
          <w:rFonts w:ascii="Arial" w:hAnsi="Arial" w:cs="Arial"/>
        </w:rPr>
        <w:t>de la sixième à la dixième année suivant l’entrée en force du classement en zone à bâtir</w:t>
      </w:r>
      <w:r w:rsidR="00D237B5">
        <w:rPr>
          <w:rFonts w:ascii="Arial" w:hAnsi="Arial" w:cs="Arial"/>
        </w:rPr>
        <w:t>;</w:t>
      </w:r>
    </w:p>
    <w:p w:rsidR="00CE76C6" w:rsidRPr="00BE1070" w:rsidRDefault="00D75D7A" w:rsidP="00CE76C6">
      <w:pPr>
        <w:pStyle w:val="Listenabsatz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BE1070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 </w:t>
      </w:r>
      <w:r w:rsidR="00C03772">
        <w:rPr>
          <w:rFonts w:ascii="Arial" w:hAnsi="Arial" w:cs="Arial"/>
        </w:rPr>
        <w:t xml:space="preserve">francs </w:t>
      </w:r>
      <w:r>
        <w:rPr>
          <w:rFonts w:ascii="Arial" w:hAnsi="Arial" w:cs="Arial"/>
        </w:rPr>
        <w:t>à partir de la onzième année suivant l’entrée en force du classement</w:t>
      </w:r>
      <w:r w:rsidR="001C41DB" w:rsidRPr="001C41DB">
        <w:rPr>
          <w:rFonts w:ascii="Arial" w:hAnsi="Arial" w:cs="Arial"/>
        </w:rPr>
        <w:t xml:space="preserve"> </w:t>
      </w:r>
      <w:r w:rsidR="001C41DB">
        <w:rPr>
          <w:rFonts w:ascii="Arial" w:hAnsi="Arial" w:cs="Arial"/>
        </w:rPr>
        <w:t>en zone à bâtir</w:t>
      </w:r>
      <w:r w:rsidR="00CE76C6" w:rsidRPr="00BE1070">
        <w:rPr>
          <w:rFonts w:ascii="Arial" w:hAnsi="Arial" w:cs="Arial"/>
        </w:rPr>
        <w:t>.</w:t>
      </w:r>
    </w:p>
    <w:p w:rsidR="00DD1DC5" w:rsidRPr="00BE1070" w:rsidRDefault="00E87210" w:rsidP="00DD1DC5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Le montant établi dans la </w:t>
      </w:r>
      <w:r w:rsidR="001C41DB">
        <w:rPr>
          <w:rFonts w:ascii="Arial" w:hAnsi="Arial" w:cs="Arial"/>
        </w:rPr>
        <w:t xml:space="preserve">présente </w:t>
      </w:r>
      <w:r>
        <w:rPr>
          <w:rFonts w:ascii="Arial" w:hAnsi="Arial" w:cs="Arial"/>
        </w:rPr>
        <w:t xml:space="preserve">décision de taxation est soumis à la compensation du renchérissement selon </w:t>
      </w:r>
      <w:r w:rsidR="00E60248" w:rsidRPr="00E60248">
        <w:rPr>
          <w:rFonts w:ascii="Arial" w:hAnsi="Arial" w:cs="Arial"/>
        </w:rPr>
        <w:t>l'indice national des prix à la consommation</w:t>
      </w:r>
      <w:r>
        <w:rPr>
          <w:rFonts w:ascii="Arial" w:hAnsi="Arial" w:cs="Arial"/>
        </w:rPr>
        <w:t xml:space="preserve"> </w:t>
      </w:r>
      <w:r w:rsidR="00DD1DC5" w:rsidRPr="00BE1070">
        <w:rPr>
          <w:rFonts w:ascii="Arial" w:hAnsi="Arial" w:cs="Arial"/>
        </w:rPr>
        <w:t>(</w:t>
      </w:r>
      <w:r w:rsidR="000D2E5D">
        <w:rPr>
          <w:rFonts w:ascii="Arial" w:hAnsi="Arial" w:cs="Arial"/>
        </w:rPr>
        <w:t>art. 142d, al. </w:t>
      </w:r>
      <w:r w:rsidR="00E60248">
        <w:rPr>
          <w:rFonts w:ascii="Arial" w:hAnsi="Arial" w:cs="Arial"/>
        </w:rPr>
        <w:t xml:space="preserve">3a LC et </w:t>
      </w:r>
      <w:r>
        <w:rPr>
          <w:rFonts w:ascii="Arial" w:hAnsi="Arial" w:cs="Arial"/>
          <w:highlight w:val="magenta"/>
        </w:rPr>
        <w:t>a</w:t>
      </w:r>
      <w:r w:rsidR="00DD1DC5" w:rsidRPr="00BE1070">
        <w:rPr>
          <w:rFonts w:ascii="Arial" w:hAnsi="Arial" w:cs="Arial"/>
          <w:highlight w:val="magenta"/>
        </w:rPr>
        <w:t>rt. 2</w:t>
      </w:r>
      <w:r>
        <w:rPr>
          <w:rFonts w:ascii="Arial" w:hAnsi="Arial" w:cs="Arial"/>
          <w:highlight w:val="magenta"/>
        </w:rPr>
        <w:t>, al</w:t>
      </w:r>
      <w:r w:rsidR="00DD1DC5" w:rsidRPr="00BE1070">
        <w:rPr>
          <w:rFonts w:ascii="Arial" w:hAnsi="Arial" w:cs="Arial"/>
          <w:highlight w:val="magenta"/>
        </w:rPr>
        <w:t>. 4</w:t>
      </w:r>
      <w:r w:rsidR="00DD1DC5" w:rsidRPr="00BE1070">
        <w:rPr>
          <w:rFonts w:ascii="Arial" w:hAnsi="Arial" w:cs="Arial"/>
        </w:rPr>
        <w:t xml:space="preserve"> </w:t>
      </w:r>
      <w:r w:rsidR="006521E2">
        <w:rPr>
          <w:rFonts w:ascii="Arial" w:hAnsi="Arial" w:cs="Arial"/>
        </w:rPr>
        <w:t>RTPV</w:t>
      </w:r>
      <w:r w:rsidR="00DD1DC5" w:rsidRPr="00BE1070">
        <w:rPr>
          <w:rFonts w:ascii="Arial" w:hAnsi="Arial" w:cs="Arial"/>
        </w:rPr>
        <w:t>).</w:t>
      </w:r>
    </w:p>
    <w:p w:rsidR="00CE76C6" w:rsidRPr="00BE1070" w:rsidRDefault="00570E8D" w:rsidP="00CE76C6">
      <w:pPr>
        <w:pStyle w:val="Listenabsatz"/>
        <w:numPr>
          <w:ilvl w:val="0"/>
          <w:numId w:val="2"/>
        </w:numPr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Selon l’article 142c, alinéa 1 LC, la taxe sur la plus-value est exigible</w:t>
      </w:r>
      <w:r w:rsidR="00AD505F">
        <w:rPr>
          <w:rFonts w:ascii="Arial" w:hAnsi="Arial" w:cs="Arial"/>
        </w:rPr>
        <w:t xml:space="preserve"> en cas de classement en zone à bâtir</w:t>
      </w:r>
      <w:r>
        <w:rPr>
          <w:rFonts w:ascii="Arial" w:hAnsi="Arial" w:cs="Arial"/>
        </w:rPr>
        <w:t xml:space="preserve"> lorsque la plus-value résultant de mesures d’aménagement est réalisée suite à une construction ou à une aliénation, les procédés énumérés à l’article 130 de la loi du 21 mai 2000 sur les impôts (LI</w:t>
      </w:r>
      <w:r w:rsidR="00D237B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RSB 661.11) étant considérés par analogie comme des cas d’aliénation. En cas de construction ou d’aliénation d’une partie d’un bien-fonds, la taxe est due au pro rata </w:t>
      </w:r>
      <w:r w:rsidR="002A02CB" w:rsidRPr="00BE1070">
        <w:rPr>
          <w:rFonts w:ascii="Arial" w:hAnsi="Arial" w:cs="Arial"/>
        </w:rPr>
        <w:t>(</w:t>
      </w:r>
      <w:r>
        <w:rPr>
          <w:rFonts w:ascii="Arial" w:hAnsi="Arial" w:cs="Arial"/>
        </w:rPr>
        <w:t>a</w:t>
      </w:r>
      <w:r w:rsidR="002A02CB" w:rsidRPr="00BE1070">
        <w:rPr>
          <w:rFonts w:ascii="Arial" w:hAnsi="Arial" w:cs="Arial"/>
        </w:rPr>
        <w:t>rt. 142c</w:t>
      </w:r>
      <w:r>
        <w:rPr>
          <w:rFonts w:ascii="Arial" w:hAnsi="Arial" w:cs="Arial"/>
        </w:rPr>
        <w:t>, al</w:t>
      </w:r>
      <w:r w:rsidR="002A02CB" w:rsidRPr="00BE1070">
        <w:rPr>
          <w:rFonts w:ascii="Arial" w:hAnsi="Arial" w:cs="Arial"/>
        </w:rPr>
        <w:t xml:space="preserve">. 2 </w:t>
      </w:r>
      <w:r>
        <w:rPr>
          <w:rFonts w:ascii="Arial" w:hAnsi="Arial" w:cs="Arial"/>
        </w:rPr>
        <w:t>LC</w:t>
      </w:r>
      <w:r w:rsidR="002A02CB" w:rsidRPr="00BE1070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Selon l’</w:t>
      </w:r>
      <w:r>
        <w:rPr>
          <w:rFonts w:ascii="Arial" w:hAnsi="Arial" w:cs="Arial"/>
          <w:highlight w:val="magenta"/>
        </w:rPr>
        <w:t>a</w:t>
      </w:r>
      <w:r w:rsidR="002A02CB" w:rsidRPr="00BE1070">
        <w:rPr>
          <w:rFonts w:ascii="Arial" w:hAnsi="Arial" w:cs="Arial"/>
          <w:highlight w:val="magenta"/>
        </w:rPr>
        <w:t>rt</w:t>
      </w:r>
      <w:r>
        <w:rPr>
          <w:rFonts w:ascii="Arial" w:hAnsi="Arial" w:cs="Arial"/>
          <w:highlight w:val="magenta"/>
        </w:rPr>
        <w:t>icle</w:t>
      </w:r>
      <w:r w:rsidR="002A02CB" w:rsidRPr="00BE1070">
        <w:rPr>
          <w:rFonts w:ascii="Arial" w:hAnsi="Arial" w:cs="Arial"/>
          <w:highlight w:val="magenta"/>
        </w:rPr>
        <w:t> 3</w:t>
      </w:r>
      <w:r>
        <w:rPr>
          <w:rFonts w:ascii="Arial" w:hAnsi="Arial" w:cs="Arial"/>
          <w:highlight w:val="magenta"/>
        </w:rPr>
        <w:t>, alinéa</w:t>
      </w:r>
      <w:r w:rsidR="002A02CB" w:rsidRPr="00BE1070">
        <w:rPr>
          <w:rFonts w:ascii="Arial" w:hAnsi="Arial" w:cs="Arial"/>
          <w:highlight w:val="magenta"/>
        </w:rPr>
        <w:t> 2</w:t>
      </w:r>
      <w:r w:rsidR="002A02CB" w:rsidRPr="00BE1070">
        <w:rPr>
          <w:rFonts w:ascii="Arial" w:hAnsi="Arial" w:cs="Arial"/>
        </w:rPr>
        <w:t xml:space="preserve"> </w:t>
      </w:r>
      <w:r w:rsidR="006521E2">
        <w:rPr>
          <w:rFonts w:ascii="Arial" w:hAnsi="Arial" w:cs="Arial"/>
        </w:rPr>
        <w:t>RTPV</w:t>
      </w:r>
      <w:r>
        <w:rPr>
          <w:rFonts w:ascii="Arial" w:hAnsi="Arial" w:cs="Arial"/>
        </w:rPr>
        <w:t xml:space="preserve">, des intérêts moratoires </w:t>
      </w:r>
      <w:r w:rsidR="0007741A">
        <w:rPr>
          <w:rFonts w:ascii="Arial" w:hAnsi="Arial" w:cs="Arial"/>
        </w:rPr>
        <w:t xml:space="preserve">de </w:t>
      </w:r>
      <w:r w:rsidR="0007741A" w:rsidRPr="0007741A">
        <w:rPr>
          <w:rFonts w:ascii="Arial" w:hAnsi="Arial" w:cs="Arial"/>
          <w:highlight w:val="yellow"/>
        </w:rPr>
        <w:t>XXX</w:t>
      </w:r>
      <w:r w:rsidR="0007741A">
        <w:rPr>
          <w:rFonts w:ascii="Arial" w:hAnsi="Arial" w:cs="Arial"/>
        </w:rPr>
        <w:t xml:space="preserve"> pour cent </w:t>
      </w:r>
      <w:r>
        <w:rPr>
          <w:rFonts w:ascii="Arial" w:hAnsi="Arial" w:cs="Arial"/>
        </w:rPr>
        <w:t>sont dus en cas de retard dans le paiement de la taxe</w:t>
      </w:r>
      <w:r w:rsidR="002A02CB" w:rsidRPr="00BE1070">
        <w:rPr>
          <w:rFonts w:ascii="Arial" w:hAnsi="Arial" w:cs="Arial"/>
        </w:rPr>
        <w:t>.</w:t>
      </w:r>
    </w:p>
    <w:p w:rsidR="002A02CB" w:rsidRPr="00BE1070" w:rsidRDefault="00222D82" w:rsidP="00CE76C6">
      <w:pPr>
        <w:pStyle w:val="Listenabsatz"/>
        <w:numPr>
          <w:ilvl w:val="0"/>
          <w:numId w:val="2"/>
        </w:numPr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Conformément à l’article 109a,</w:t>
      </w:r>
      <w:r w:rsidR="00135C1C">
        <w:rPr>
          <w:rFonts w:ascii="Arial" w:hAnsi="Arial" w:cs="Arial"/>
        </w:rPr>
        <w:t xml:space="preserve"> alinéa 1,</w:t>
      </w:r>
      <w:r>
        <w:rPr>
          <w:rFonts w:ascii="Arial" w:hAnsi="Arial" w:cs="Arial"/>
        </w:rPr>
        <w:t xml:space="preserve"> lettre </w:t>
      </w:r>
      <w:r w:rsidR="00135C1C">
        <w:rPr>
          <w:rFonts w:ascii="Arial" w:hAnsi="Arial" w:cs="Arial"/>
          <w:i/>
        </w:rPr>
        <w:t>d1</w:t>
      </w:r>
      <w:r>
        <w:rPr>
          <w:rFonts w:ascii="Arial" w:hAnsi="Arial" w:cs="Arial"/>
        </w:rPr>
        <w:t xml:space="preserve"> de la loi du 28 mai 1911 sur l’introduction du Code civil suisse (LiCCS</w:t>
      </w:r>
      <w:r w:rsidR="00D237B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RSB 211.1), i</w:t>
      </w:r>
      <w:r w:rsidR="00570E8D">
        <w:rPr>
          <w:rFonts w:ascii="Arial" w:hAnsi="Arial" w:cs="Arial"/>
        </w:rPr>
        <w:t xml:space="preserve">l existe une hypothèque légale </w:t>
      </w:r>
      <w:r w:rsidR="00EB4411">
        <w:rPr>
          <w:rFonts w:ascii="Arial" w:hAnsi="Arial" w:cs="Arial"/>
        </w:rPr>
        <w:t xml:space="preserve">directe </w:t>
      </w:r>
      <w:r w:rsidR="001C41DB">
        <w:rPr>
          <w:rFonts w:ascii="Arial" w:hAnsi="Arial" w:cs="Arial"/>
        </w:rPr>
        <w:t>pour garantir les créances et l</w:t>
      </w:r>
      <w:r>
        <w:rPr>
          <w:rFonts w:ascii="Arial" w:hAnsi="Arial" w:cs="Arial"/>
        </w:rPr>
        <w:t>es intérêts moratoires</w:t>
      </w:r>
      <w:r w:rsidR="00570E8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En conséquence, </w:t>
      </w:r>
      <w:r w:rsidR="00031C45">
        <w:rPr>
          <w:rFonts w:ascii="Arial" w:hAnsi="Arial" w:cs="Arial"/>
        </w:rPr>
        <w:t xml:space="preserve">il est constaté </w:t>
      </w:r>
      <w:r>
        <w:rPr>
          <w:rFonts w:ascii="Arial" w:hAnsi="Arial" w:cs="Arial"/>
        </w:rPr>
        <w:t xml:space="preserve">que la commune </w:t>
      </w:r>
      <w:r w:rsidR="001C41DB">
        <w:rPr>
          <w:rFonts w:ascii="Arial" w:hAnsi="Arial" w:cs="Arial"/>
        </w:rPr>
        <w:t>de/d’</w:t>
      </w:r>
      <w:r w:rsidRPr="00222D82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 bénéficie</w:t>
      </w:r>
      <w:r w:rsidR="00531FE1">
        <w:rPr>
          <w:rFonts w:ascii="Arial" w:hAnsi="Arial" w:cs="Arial"/>
        </w:rPr>
        <w:t>, à compter de l’entrée en force de la décision relativ</w:t>
      </w:r>
      <w:r w:rsidR="000D2E5D">
        <w:rPr>
          <w:rFonts w:ascii="Arial" w:hAnsi="Arial" w:cs="Arial"/>
        </w:rPr>
        <w:t>e à la mesure d’aménagement dont</w:t>
      </w:r>
      <w:r w:rsidR="00531FE1">
        <w:rPr>
          <w:rFonts w:ascii="Arial" w:hAnsi="Arial" w:cs="Arial"/>
        </w:rPr>
        <w:t xml:space="preserve"> découle la plus-value,</w:t>
      </w:r>
      <w:r>
        <w:rPr>
          <w:rFonts w:ascii="Arial" w:hAnsi="Arial" w:cs="Arial"/>
        </w:rPr>
        <w:t xml:space="preserve"> d’une hypothèque légale </w:t>
      </w:r>
      <w:r w:rsidR="00565963">
        <w:rPr>
          <w:rFonts w:ascii="Arial" w:hAnsi="Arial" w:cs="Arial"/>
        </w:rPr>
        <w:t xml:space="preserve">directe </w:t>
      </w:r>
      <w:r>
        <w:rPr>
          <w:rFonts w:ascii="Arial" w:hAnsi="Arial" w:cs="Arial"/>
        </w:rPr>
        <w:t xml:space="preserve">sur la parcelle </w:t>
      </w:r>
      <w:r w:rsidRPr="00222D82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 pour garantir le paiement de la taxe sur la plus-value </w:t>
      </w:r>
      <w:r w:rsidR="0085115F">
        <w:rPr>
          <w:rFonts w:ascii="Arial" w:hAnsi="Arial" w:cs="Arial"/>
        </w:rPr>
        <w:t xml:space="preserve">de </w:t>
      </w:r>
      <w:r w:rsidR="0085115F" w:rsidRPr="00531FE1">
        <w:rPr>
          <w:rFonts w:ascii="Arial" w:hAnsi="Arial" w:cs="Arial"/>
          <w:highlight w:val="yellow"/>
        </w:rPr>
        <w:t>XXX</w:t>
      </w:r>
      <w:r w:rsidR="0085115F">
        <w:rPr>
          <w:rFonts w:ascii="Arial" w:hAnsi="Arial" w:cs="Arial"/>
        </w:rPr>
        <w:t xml:space="preserve"> francs </w:t>
      </w:r>
      <w:r>
        <w:rPr>
          <w:rFonts w:ascii="Arial" w:hAnsi="Arial" w:cs="Arial"/>
        </w:rPr>
        <w:t>établie par la présente</w:t>
      </w:r>
      <w:r w:rsidR="00031C45">
        <w:rPr>
          <w:rFonts w:ascii="Arial" w:hAnsi="Arial" w:cs="Arial"/>
        </w:rPr>
        <w:t xml:space="preserve"> décision</w:t>
      </w:r>
      <w:r>
        <w:rPr>
          <w:rFonts w:ascii="Arial" w:hAnsi="Arial" w:cs="Arial"/>
        </w:rPr>
        <w:t xml:space="preserve"> et des </w:t>
      </w:r>
      <w:r w:rsidR="0085115F">
        <w:rPr>
          <w:rFonts w:ascii="Arial" w:hAnsi="Arial" w:cs="Arial"/>
        </w:rPr>
        <w:t xml:space="preserve">éventuels </w:t>
      </w:r>
      <w:r>
        <w:rPr>
          <w:rFonts w:ascii="Arial" w:hAnsi="Arial" w:cs="Arial"/>
        </w:rPr>
        <w:t>intérêts moratoires y afférents</w:t>
      </w:r>
      <w:r w:rsidR="00110243">
        <w:rPr>
          <w:rFonts w:ascii="Arial" w:hAnsi="Arial" w:cs="Arial"/>
        </w:rPr>
        <w:t xml:space="preserve"> (art. 142</w:t>
      </w:r>
      <w:r w:rsidR="00110243" w:rsidRPr="004B770A">
        <w:rPr>
          <w:rFonts w:ascii="Arial" w:hAnsi="Arial" w:cs="Arial"/>
        </w:rPr>
        <w:t>e</w:t>
      </w:r>
      <w:r w:rsidR="00110243">
        <w:rPr>
          <w:rFonts w:ascii="Arial" w:hAnsi="Arial" w:cs="Arial"/>
        </w:rPr>
        <w:t>, al. 2 LC)</w:t>
      </w:r>
      <w:r>
        <w:rPr>
          <w:rFonts w:ascii="Arial" w:hAnsi="Arial" w:cs="Arial"/>
        </w:rPr>
        <w:t xml:space="preserve">. La commune </w:t>
      </w:r>
      <w:r w:rsidR="001C41DB">
        <w:rPr>
          <w:rFonts w:ascii="Arial" w:hAnsi="Arial" w:cs="Arial"/>
        </w:rPr>
        <w:t>déposera une réquisition d’</w:t>
      </w:r>
      <w:r w:rsidR="00601D59">
        <w:rPr>
          <w:rFonts w:ascii="Arial" w:hAnsi="Arial" w:cs="Arial"/>
        </w:rPr>
        <w:t>inscription</w:t>
      </w:r>
      <w:r>
        <w:rPr>
          <w:rFonts w:ascii="Arial" w:hAnsi="Arial" w:cs="Arial"/>
        </w:rPr>
        <w:t xml:space="preserve"> au registre foncier compétent à raison du lieu après l’entrée en force d</w:t>
      </w:r>
      <w:r w:rsidR="004C2F87">
        <w:rPr>
          <w:rFonts w:ascii="Arial" w:hAnsi="Arial" w:cs="Arial"/>
        </w:rPr>
        <w:t xml:space="preserve">u classement à l’origine de la plus-value </w:t>
      </w:r>
      <w:r w:rsidR="00601D59">
        <w:rPr>
          <w:rFonts w:ascii="Arial" w:hAnsi="Arial" w:cs="Arial"/>
        </w:rPr>
        <w:t>afin que l’hypothèque légale ne s’éteigne pas dans un délai de six mois</w:t>
      </w:r>
      <w:r w:rsidR="00601D59" w:rsidRPr="00601D59">
        <w:rPr>
          <w:rFonts w:ascii="Arial" w:hAnsi="Arial" w:cs="Arial"/>
        </w:rPr>
        <w:t xml:space="preserve"> </w:t>
      </w:r>
      <w:r w:rsidR="009226E4">
        <w:rPr>
          <w:rFonts w:ascii="Arial" w:hAnsi="Arial" w:cs="Arial"/>
        </w:rPr>
        <w:t>en application de l’article 109a</w:t>
      </w:r>
      <w:r w:rsidR="00601D59">
        <w:rPr>
          <w:rFonts w:ascii="Arial" w:hAnsi="Arial" w:cs="Arial"/>
        </w:rPr>
        <w:t xml:space="preserve">, alinéa 1, </w:t>
      </w:r>
      <w:r w:rsidR="009226E4">
        <w:rPr>
          <w:rFonts w:ascii="Arial" w:hAnsi="Arial" w:cs="Arial"/>
        </w:rPr>
        <w:t xml:space="preserve">lettre </w:t>
      </w:r>
      <w:r w:rsidR="009226E4" w:rsidRPr="009226E4">
        <w:rPr>
          <w:rFonts w:ascii="Arial" w:hAnsi="Arial" w:cs="Arial"/>
          <w:i/>
        </w:rPr>
        <w:t>d1</w:t>
      </w:r>
      <w:r w:rsidR="009226E4">
        <w:rPr>
          <w:rFonts w:ascii="Arial" w:hAnsi="Arial" w:cs="Arial"/>
        </w:rPr>
        <w:t xml:space="preserve"> </w:t>
      </w:r>
      <w:r w:rsidR="00601D59">
        <w:rPr>
          <w:rFonts w:ascii="Arial" w:hAnsi="Arial" w:cs="Arial"/>
        </w:rPr>
        <w:t xml:space="preserve">LiCCS </w:t>
      </w:r>
      <w:r w:rsidR="001C41DB">
        <w:rPr>
          <w:rFonts w:ascii="Arial" w:hAnsi="Arial" w:cs="Arial"/>
        </w:rPr>
        <w:t>et</w:t>
      </w:r>
      <w:r w:rsidR="00601D59">
        <w:rPr>
          <w:rFonts w:ascii="Arial" w:hAnsi="Arial" w:cs="Arial"/>
        </w:rPr>
        <w:t xml:space="preserve"> qu’elle puisse être opposée à des tiers de bonne foi dans les deux ans à compter de la naissance de la créance en application de l’article 109d, alinéa 4, LiCCS</w:t>
      </w:r>
      <w:r w:rsidR="00C63C93" w:rsidRPr="00BE1070">
        <w:rPr>
          <w:rFonts w:ascii="Arial" w:hAnsi="Arial" w:cs="Arial"/>
        </w:rPr>
        <w:t>.</w:t>
      </w:r>
      <w:r w:rsidR="00E564DA" w:rsidRPr="00BE1070">
        <w:rPr>
          <w:rFonts w:ascii="Arial" w:hAnsi="Arial" w:cs="Arial"/>
        </w:rPr>
        <w:t xml:space="preserve"> </w:t>
      </w:r>
    </w:p>
    <w:p w:rsidR="00C63C93" w:rsidRDefault="00601D59" w:rsidP="00CE76C6">
      <w:pPr>
        <w:pStyle w:val="Listenabsatz"/>
        <w:numPr>
          <w:ilvl w:val="0"/>
          <w:numId w:val="2"/>
        </w:numPr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Selon l’article 142f, alinéa 1 LC, le produit de la taxe sur la plus-value est attribué à raison de 10</w:t>
      </w:r>
      <w:r w:rsidR="00C03772">
        <w:rPr>
          <w:rFonts w:ascii="Arial" w:hAnsi="Arial" w:cs="Arial"/>
        </w:rPr>
        <w:t xml:space="preserve"> pour cent</w:t>
      </w:r>
      <w:r w:rsidR="00C630C4">
        <w:rPr>
          <w:rFonts w:ascii="Arial" w:hAnsi="Arial" w:cs="Arial"/>
        </w:rPr>
        <w:t xml:space="preserve"> au canton</w:t>
      </w:r>
      <w:r>
        <w:rPr>
          <w:rFonts w:ascii="Arial" w:hAnsi="Arial" w:cs="Arial"/>
        </w:rPr>
        <w:t xml:space="preserve">. La </w:t>
      </w:r>
      <w:r w:rsidR="00C630C4">
        <w:rPr>
          <w:rFonts w:ascii="Arial" w:hAnsi="Arial" w:cs="Arial"/>
        </w:rPr>
        <w:t xml:space="preserve">présente </w:t>
      </w:r>
      <w:r>
        <w:rPr>
          <w:rFonts w:ascii="Arial" w:hAnsi="Arial" w:cs="Arial"/>
        </w:rPr>
        <w:t xml:space="preserve">décision </w:t>
      </w:r>
      <w:r w:rsidR="00C630C4">
        <w:rPr>
          <w:rFonts w:ascii="Arial" w:hAnsi="Arial" w:cs="Arial"/>
        </w:rPr>
        <w:t>doit être</w:t>
      </w:r>
      <w:r w:rsidR="00B54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notifiée </w:t>
      </w:r>
      <w:r w:rsidR="00C630C4">
        <w:rPr>
          <w:rFonts w:ascii="Arial" w:hAnsi="Arial" w:cs="Arial"/>
        </w:rPr>
        <w:t xml:space="preserve">à l’Office des </w:t>
      </w:r>
      <w:r w:rsidR="00C630C4">
        <w:rPr>
          <w:rFonts w:ascii="Arial" w:hAnsi="Arial" w:cs="Arial"/>
        </w:rPr>
        <w:lastRenderedPageBreak/>
        <w:t xml:space="preserve">affaires communales et de l’organisation du territoire (OACOT) </w:t>
      </w:r>
      <w:r w:rsidR="00810B2F">
        <w:rPr>
          <w:rFonts w:ascii="Arial" w:hAnsi="Arial" w:cs="Arial"/>
        </w:rPr>
        <w:t>conformément à l’article</w:t>
      </w:r>
      <w:r>
        <w:rPr>
          <w:rFonts w:ascii="Arial" w:hAnsi="Arial" w:cs="Arial"/>
        </w:rPr>
        <w:t xml:space="preserve"> </w:t>
      </w:r>
      <w:r w:rsidR="00810B2F">
        <w:rPr>
          <w:rFonts w:ascii="Arial" w:hAnsi="Arial" w:cs="Arial"/>
        </w:rPr>
        <w:t>120b, alinéa 1 OC</w:t>
      </w:r>
      <w:r w:rsidR="00C63C93" w:rsidRPr="00BE1070">
        <w:rPr>
          <w:rFonts w:ascii="Arial" w:hAnsi="Arial" w:cs="Arial"/>
        </w:rPr>
        <w:t>.</w:t>
      </w:r>
    </w:p>
    <w:p w:rsidR="008418AD" w:rsidRPr="00BE1070" w:rsidRDefault="0073128A" w:rsidP="00CE76C6">
      <w:pPr>
        <w:pStyle w:val="Listenabsatz"/>
        <w:numPr>
          <w:ilvl w:val="0"/>
          <w:numId w:val="2"/>
        </w:numPr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En vertu de l’article</w:t>
      </w:r>
      <w:r w:rsidR="00500264">
        <w:rPr>
          <w:rFonts w:ascii="Arial" w:hAnsi="Arial" w:cs="Arial"/>
        </w:rPr>
        <w:t xml:space="preserve"> 142c, alinéa 3 LC</w:t>
      </w:r>
      <w:r>
        <w:rPr>
          <w:rFonts w:ascii="Arial" w:hAnsi="Arial" w:cs="Arial"/>
        </w:rPr>
        <w:t xml:space="preserve">, </w:t>
      </w:r>
      <w:r w:rsidR="00EA2085" w:rsidRPr="007740C9">
        <w:rPr>
          <w:rFonts w:ascii="Arial" w:hAnsi="Arial" w:cs="Arial"/>
        </w:rPr>
        <w:t xml:space="preserve">les bureaux </w:t>
      </w:r>
      <w:r w:rsidR="00EA2085">
        <w:rPr>
          <w:rFonts w:ascii="Arial" w:hAnsi="Arial" w:cs="Arial"/>
        </w:rPr>
        <w:t>du registre foncier établissent, l</w:t>
      </w:r>
      <w:r w:rsidR="00EA2085" w:rsidRPr="007740C9">
        <w:rPr>
          <w:rFonts w:ascii="Arial" w:hAnsi="Arial" w:cs="Arial"/>
        </w:rPr>
        <w:t>orsqu’ils en ont connaissance</w:t>
      </w:r>
      <w:r w:rsidR="00EA2085">
        <w:rPr>
          <w:rFonts w:ascii="Arial" w:hAnsi="Arial" w:cs="Arial"/>
        </w:rPr>
        <w:t>,</w:t>
      </w:r>
      <w:r w:rsidR="00EA2085" w:rsidRPr="007740C9">
        <w:rPr>
          <w:rFonts w:ascii="Arial" w:hAnsi="Arial" w:cs="Arial"/>
        </w:rPr>
        <w:t xml:space="preserve"> une annonce pour chaque cas </w:t>
      </w:r>
      <w:r w:rsidR="00EA2085">
        <w:rPr>
          <w:rFonts w:ascii="Arial" w:hAnsi="Arial" w:cs="Arial"/>
        </w:rPr>
        <w:t xml:space="preserve">d’aliénation </w:t>
      </w:r>
      <w:r w:rsidR="00EA2085" w:rsidRPr="007740C9">
        <w:rPr>
          <w:rFonts w:ascii="Arial" w:hAnsi="Arial" w:cs="Arial"/>
        </w:rPr>
        <w:t>où la taxe sur la plus-value devient exigible et mettent ces informations à la disposition des communes sous une forme appropriée.</w:t>
      </w:r>
      <w:r w:rsidR="00EA2085">
        <w:rPr>
          <w:rFonts w:ascii="Arial" w:hAnsi="Arial" w:cs="Arial"/>
        </w:rPr>
        <w:t xml:space="preserve"> </w:t>
      </w:r>
      <w:r w:rsidR="00C06262">
        <w:rPr>
          <w:rFonts w:ascii="Arial" w:hAnsi="Arial" w:cs="Arial"/>
        </w:rPr>
        <w:t>La présente décision doit par conséquent être notifiée au bureau du registre foncier compétent.</w:t>
      </w:r>
    </w:p>
    <w:p w:rsidR="0093687A" w:rsidRPr="00BE1070" w:rsidRDefault="00500264" w:rsidP="0093687A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3687A" w:rsidRPr="00BE1070">
        <w:rPr>
          <w:rFonts w:ascii="Arial" w:hAnsi="Arial" w:cs="Arial"/>
        </w:rPr>
        <w:t>.</w:t>
      </w:r>
      <w:r w:rsidR="0093687A" w:rsidRPr="00BE1070">
        <w:rPr>
          <w:rFonts w:ascii="Arial" w:hAnsi="Arial" w:cs="Arial"/>
        </w:rPr>
        <w:tab/>
      </w:r>
      <w:r w:rsidR="00601D59">
        <w:rPr>
          <w:rFonts w:ascii="Arial" w:hAnsi="Arial" w:cs="Arial"/>
        </w:rPr>
        <w:t>La présente décision ne donne pas lieu à la perception d’un émolument</w:t>
      </w:r>
      <w:r w:rsidR="0093687A" w:rsidRPr="00BE1070">
        <w:rPr>
          <w:rFonts w:ascii="Arial" w:hAnsi="Arial" w:cs="Arial"/>
        </w:rPr>
        <w:t>.</w:t>
      </w:r>
      <w:r w:rsidR="009E0DBD" w:rsidRPr="00BE1070">
        <w:rPr>
          <w:rFonts w:ascii="Arial" w:hAnsi="Arial" w:cs="Arial"/>
        </w:rPr>
        <w:t xml:space="preserve"> </w:t>
      </w:r>
    </w:p>
    <w:p w:rsidR="00CE76C6" w:rsidRPr="00BE1070" w:rsidRDefault="0093687A" w:rsidP="0093687A">
      <w:pPr>
        <w:pStyle w:val="Listenabsatz"/>
        <w:shd w:val="clear" w:color="auto" w:fill="EAF1DD" w:themeFill="accent3" w:themeFillTint="33"/>
        <w:rPr>
          <w:rFonts w:ascii="Arial" w:hAnsi="Arial" w:cs="Arial"/>
        </w:rPr>
      </w:pPr>
      <w:r w:rsidRPr="00BE1070">
        <w:rPr>
          <w:rFonts w:ascii="Arial" w:hAnsi="Arial" w:cs="Arial"/>
          <w:i/>
        </w:rPr>
        <w:t>Variante</w:t>
      </w:r>
      <w:r w:rsidR="00D237B5">
        <w:rPr>
          <w:rFonts w:ascii="Arial" w:hAnsi="Arial" w:cs="Arial"/>
          <w:i/>
        </w:rPr>
        <w:t>:</w:t>
      </w:r>
      <w:r w:rsidRPr="00BE1070">
        <w:rPr>
          <w:rFonts w:ascii="Arial" w:hAnsi="Arial" w:cs="Arial"/>
          <w:i/>
        </w:rPr>
        <w:br/>
      </w:r>
      <w:r w:rsidR="00D00C2F">
        <w:rPr>
          <w:rFonts w:ascii="Arial" w:hAnsi="Arial" w:cs="Arial"/>
        </w:rPr>
        <w:t xml:space="preserve">Selon </w:t>
      </w:r>
      <w:r w:rsidR="00011D3E" w:rsidRPr="00BE1070">
        <w:rPr>
          <w:rFonts w:ascii="Arial" w:hAnsi="Arial" w:cs="Arial"/>
          <w:highlight w:val="yellow"/>
        </w:rPr>
        <w:t>[</w:t>
      </w:r>
      <w:r w:rsidR="00D00C2F">
        <w:rPr>
          <w:rFonts w:ascii="Arial" w:hAnsi="Arial" w:cs="Arial"/>
          <w:highlight w:val="yellow"/>
        </w:rPr>
        <w:t>l’a</w:t>
      </w:r>
      <w:r w:rsidRPr="00BE1070">
        <w:rPr>
          <w:rFonts w:ascii="Arial" w:hAnsi="Arial" w:cs="Arial"/>
          <w:highlight w:val="yellow"/>
        </w:rPr>
        <w:t>rt</w:t>
      </w:r>
      <w:r w:rsidR="00D00C2F">
        <w:rPr>
          <w:rFonts w:ascii="Arial" w:hAnsi="Arial" w:cs="Arial"/>
          <w:highlight w:val="yellow"/>
        </w:rPr>
        <w:t>icle XXX du règlement sur les émoluments</w:t>
      </w:r>
      <w:r w:rsidR="00011D3E" w:rsidRPr="00BE1070">
        <w:rPr>
          <w:rFonts w:ascii="Arial" w:hAnsi="Arial" w:cs="Arial"/>
          <w:highlight w:val="yellow"/>
        </w:rPr>
        <w:t>]</w:t>
      </w:r>
      <w:r w:rsidR="00D00C2F">
        <w:rPr>
          <w:rFonts w:ascii="Arial" w:hAnsi="Arial" w:cs="Arial"/>
        </w:rPr>
        <w:t>, la présente décision donne lieu à la perception d’un émolument de</w:t>
      </w:r>
      <w:r w:rsidR="00011D3E" w:rsidRPr="00BE1070">
        <w:rPr>
          <w:rFonts w:ascii="Arial" w:hAnsi="Arial" w:cs="Arial"/>
        </w:rPr>
        <w:t xml:space="preserve"> </w:t>
      </w:r>
      <w:r w:rsidR="00011D3E" w:rsidRPr="00BE1070">
        <w:rPr>
          <w:rFonts w:ascii="Arial" w:hAnsi="Arial" w:cs="Arial"/>
          <w:highlight w:val="yellow"/>
        </w:rPr>
        <w:t>XXX</w:t>
      </w:r>
      <w:r w:rsidR="001C41DB">
        <w:rPr>
          <w:rFonts w:ascii="Arial" w:hAnsi="Arial" w:cs="Arial"/>
        </w:rPr>
        <w:t xml:space="preserve"> francs</w:t>
      </w:r>
      <w:r w:rsidR="00D00C2F">
        <w:rPr>
          <w:rFonts w:ascii="Arial" w:hAnsi="Arial" w:cs="Arial"/>
        </w:rPr>
        <w:t>, à la charge du propriétaire foncier</w:t>
      </w:r>
      <w:r w:rsidR="001C41DB">
        <w:rPr>
          <w:rFonts w:ascii="Arial" w:hAnsi="Arial" w:cs="Arial"/>
        </w:rPr>
        <w:t>/de la propriétaire foncière</w:t>
      </w:r>
      <w:r w:rsidR="00011D3E" w:rsidRPr="00BE1070">
        <w:rPr>
          <w:rFonts w:ascii="Arial" w:hAnsi="Arial" w:cs="Arial"/>
        </w:rPr>
        <w:t>.</w:t>
      </w:r>
    </w:p>
    <w:p w:rsidR="00B5412C" w:rsidRDefault="00B5412C" w:rsidP="00E564DA">
      <w:pPr>
        <w:rPr>
          <w:rFonts w:ascii="Arial" w:hAnsi="Arial" w:cs="Arial"/>
        </w:rPr>
      </w:pPr>
    </w:p>
    <w:p w:rsidR="00E564DA" w:rsidRPr="00BE1070" w:rsidRDefault="00D00C2F" w:rsidP="00E56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Pour ces raisons, </w:t>
      </w:r>
    </w:p>
    <w:p w:rsidR="00E564DA" w:rsidRPr="00BE1070" w:rsidRDefault="001C41DB" w:rsidP="00E564DA">
      <w:pPr>
        <w:jc w:val="center"/>
        <w:rPr>
          <w:rFonts w:ascii="Arial" w:hAnsi="Arial" w:cs="Arial"/>
          <w:b/>
        </w:rPr>
      </w:pPr>
      <w:r w:rsidRPr="001C41DB">
        <w:rPr>
          <w:rFonts w:ascii="Arial" w:hAnsi="Arial" w:cs="Arial"/>
          <w:b/>
          <w:highlight w:val="yellow"/>
        </w:rPr>
        <w:t>l’organe compétent</w:t>
      </w:r>
      <w:r w:rsidR="00D00C2F" w:rsidRPr="001C41DB">
        <w:rPr>
          <w:rFonts w:ascii="Arial" w:hAnsi="Arial" w:cs="Arial"/>
          <w:b/>
          <w:highlight w:val="yellow"/>
        </w:rPr>
        <w:t xml:space="preserve"> arrêt</w:t>
      </w:r>
      <w:r w:rsidR="00C03772" w:rsidRPr="001C41DB">
        <w:rPr>
          <w:rFonts w:ascii="Arial" w:hAnsi="Arial" w:cs="Arial"/>
          <w:b/>
          <w:highlight w:val="yellow"/>
        </w:rPr>
        <w:t>e</w:t>
      </w:r>
      <w:r w:rsidRPr="001C41DB">
        <w:rPr>
          <w:rFonts w:ascii="Arial" w:hAnsi="Arial" w:cs="Arial"/>
          <w:b/>
          <w:highlight w:val="yellow"/>
        </w:rPr>
        <w:t>/décide</w:t>
      </w:r>
      <w:r w:rsidR="00D237B5">
        <w:rPr>
          <w:rFonts w:ascii="Arial" w:hAnsi="Arial" w:cs="Arial"/>
          <w:b/>
        </w:rPr>
        <w:t>:</w:t>
      </w:r>
    </w:p>
    <w:p w:rsidR="00E564DA" w:rsidRPr="00BE1070" w:rsidRDefault="00F353F7" w:rsidP="00E564DA">
      <w:pPr>
        <w:pStyle w:val="Listenabsatz"/>
        <w:numPr>
          <w:ilvl w:val="0"/>
          <w:numId w:val="4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La taxe sur la plus-value pour le classement en zone à bâtir du bien-fonds </w:t>
      </w:r>
      <w:r w:rsidR="00E564DA" w:rsidRPr="00BE1070">
        <w:rPr>
          <w:rFonts w:ascii="Arial" w:hAnsi="Arial" w:cs="Arial"/>
          <w:highlight w:val="yellow"/>
        </w:rPr>
        <w:t>XXX</w:t>
      </w:r>
      <w:r w:rsidR="00E564DA" w:rsidRPr="00BE10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 fixée</w:t>
      </w:r>
    </w:p>
    <w:p w:rsidR="00E564DA" w:rsidRPr="00BE1070" w:rsidRDefault="00F353F7" w:rsidP="00E564DA">
      <w:pPr>
        <w:pStyle w:val="Listenabsatz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E564DA" w:rsidRPr="00BE1070">
        <w:rPr>
          <w:rFonts w:ascii="Arial" w:hAnsi="Arial" w:cs="Arial"/>
        </w:rPr>
        <w:t xml:space="preserve"> </w:t>
      </w:r>
      <w:r w:rsidR="00E564DA" w:rsidRPr="00BE1070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 </w:t>
      </w:r>
      <w:r w:rsidR="00C03772">
        <w:rPr>
          <w:rFonts w:ascii="Arial" w:hAnsi="Arial" w:cs="Arial"/>
        </w:rPr>
        <w:t xml:space="preserve">francs </w:t>
      </w:r>
      <w:r>
        <w:rPr>
          <w:rFonts w:ascii="Arial" w:hAnsi="Arial" w:cs="Arial"/>
        </w:rPr>
        <w:t xml:space="preserve">si </w:t>
      </w:r>
      <w:r w:rsidR="001C41DB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devient exigible jusqu’au</w:t>
      </w:r>
      <w:r w:rsidR="004E48B7" w:rsidRPr="00BE1070">
        <w:rPr>
          <w:rFonts w:ascii="Arial" w:hAnsi="Arial" w:cs="Arial"/>
        </w:rPr>
        <w:t xml:space="preserve"> </w:t>
      </w:r>
      <w:r w:rsidR="004E48B7" w:rsidRPr="00BE1070">
        <w:rPr>
          <w:rFonts w:ascii="Arial" w:hAnsi="Arial" w:cs="Arial"/>
          <w:highlight w:val="yellow"/>
        </w:rPr>
        <w:t>XXX</w:t>
      </w:r>
      <w:r w:rsidR="00D237B5">
        <w:rPr>
          <w:rFonts w:ascii="Arial" w:hAnsi="Arial" w:cs="Arial"/>
        </w:rPr>
        <w:t>;</w:t>
      </w:r>
    </w:p>
    <w:p w:rsidR="00E564DA" w:rsidRPr="00BE1070" w:rsidRDefault="00F353F7" w:rsidP="00E564DA">
      <w:pPr>
        <w:pStyle w:val="Listenabsatz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5908B8" w:rsidRPr="00BE1070">
        <w:rPr>
          <w:rFonts w:ascii="Arial" w:hAnsi="Arial" w:cs="Arial"/>
        </w:rPr>
        <w:t xml:space="preserve"> </w:t>
      </w:r>
      <w:r w:rsidR="005908B8" w:rsidRPr="00BE1070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 </w:t>
      </w:r>
      <w:r w:rsidR="00C03772">
        <w:rPr>
          <w:rFonts w:ascii="Arial" w:hAnsi="Arial" w:cs="Arial"/>
        </w:rPr>
        <w:t xml:space="preserve">francs </w:t>
      </w:r>
      <w:r>
        <w:rPr>
          <w:rFonts w:ascii="Arial" w:hAnsi="Arial" w:cs="Arial"/>
        </w:rPr>
        <w:t xml:space="preserve">si </w:t>
      </w:r>
      <w:r w:rsidR="001C41DB">
        <w:rPr>
          <w:rFonts w:ascii="Arial" w:hAnsi="Arial" w:cs="Arial"/>
        </w:rPr>
        <w:t xml:space="preserve">elle </w:t>
      </w:r>
      <w:r>
        <w:rPr>
          <w:rFonts w:ascii="Arial" w:hAnsi="Arial" w:cs="Arial"/>
        </w:rPr>
        <w:t>devient exigible entre le</w:t>
      </w:r>
      <w:r w:rsidR="005908B8" w:rsidRPr="00BE1070">
        <w:rPr>
          <w:rFonts w:ascii="Arial" w:hAnsi="Arial" w:cs="Arial"/>
        </w:rPr>
        <w:t xml:space="preserve"> </w:t>
      </w:r>
      <w:r w:rsidR="004E48B7" w:rsidRPr="00F353F7">
        <w:rPr>
          <w:rFonts w:ascii="Arial" w:hAnsi="Arial" w:cs="Arial"/>
          <w:highlight w:val="yellow"/>
        </w:rPr>
        <w:t>XXX</w:t>
      </w:r>
      <w:r w:rsidR="00E564DA" w:rsidRPr="00BE10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le</w:t>
      </w:r>
      <w:r w:rsidR="005908B8" w:rsidRPr="00BE1070">
        <w:rPr>
          <w:rFonts w:ascii="Arial" w:hAnsi="Arial" w:cs="Arial"/>
        </w:rPr>
        <w:t xml:space="preserve"> </w:t>
      </w:r>
      <w:r w:rsidR="004E48B7" w:rsidRPr="00F353F7">
        <w:rPr>
          <w:rFonts w:ascii="Arial" w:hAnsi="Arial" w:cs="Arial"/>
          <w:highlight w:val="yellow"/>
        </w:rPr>
        <w:t>XXX</w:t>
      </w:r>
      <w:r w:rsidR="00D237B5">
        <w:rPr>
          <w:rFonts w:ascii="Arial" w:hAnsi="Arial" w:cs="Arial"/>
        </w:rPr>
        <w:t>;</w:t>
      </w:r>
    </w:p>
    <w:p w:rsidR="00E564DA" w:rsidRPr="00BE1070" w:rsidRDefault="00F353F7" w:rsidP="00E564DA">
      <w:pPr>
        <w:pStyle w:val="Listenabsatz"/>
        <w:numPr>
          <w:ilvl w:val="0"/>
          <w:numId w:val="3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E564DA" w:rsidRPr="00BE1070">
        <w:rPr>
          <w:rFonts w:ascii="Arial" w:hAnsi="Arial" w:cs="Arial"/>
        </w:rPr>
        <w:t xml:space="preserve"> </w:t>
      </w:r>
      <w:r w:rsidR="00E564DA" w:rsidRPr="00BE1070">
        <w:rPr>
          <w:rFonts w:ascii="Arial" w:hAnsi="Arial" w:cs="Arial"/>
          <w:highlight w:val="yellow"/>
        </w:rPr>
        <w:t>XXX</w:t>
      </w:r>
      <w:r w:rsidR="005908B8" w:rsidRPr="00BE1070">
        <w:rPr>
          <w:rFonts w:ascii="Arial" w:hAnsi="Arial" w:cs="Arial"/>
        </w:rPr>
        <w:t xml:space="preserve"> </w:t>
      </w:r>
      <w:r w:rsidR="00C03772">
        <w:rPr>
          <w:rFonts w:ascii="Arial" w:hAnsi="Arial" w:cs="Arial"/>
        </w:rPr>
        <w:t>francs</w:t>
      </w:r>
      <w:r>
        <w:rPr>
          <w:rFonts w:ascii="Arial" w:hAnsi="Arial" w:cs="Arial"/>
        </w:rPr>
        <w:t xml:space="preserve"> si </w:t>
      </w:r>
      <w:r w:rsidR="001C41DB">
        <w:rPr>
          <w:rFonts w:ascii="Arial" w:hAnsi="Arial" w:cs="Arial"/>
        </w:rPr>
        <w:t xml:space="preserve">elle </w:t>
      </w:r>
      <w:r>
        <w:rPr>
          <w:rFonts w:ascii="Arial" w:hAnsi="Arial" w:cs="Arial"/>
        </w:rPr>
        <w:t>devient exigible à une date ultérieure</w:t>
      </w:r>
      <w:r w:rsidR="00EF31C1">
        <w:rPr>
          <w:rFonts w:ascii="Arial" w:hAnsi="Arial" w:cs="Arial"/>
        </w:rPr>
        <w:t>.</w:t>
      </w:r>
    </w:p>
    <w:p w:rsidR="00E564DA" w:rsidRPr="00BE1070" w:rsidRDefault="00EF31C1" w:rsidP="00E564DA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Elle est</w:t>
      </w:r>
      <w:r w:rsidR="00F353F7">
        <w:rPr>
          <w:rFonts w:ascii="Arial" w:hAnsi="Arial" w:cs="Arial"/>
        </w:rPr>
        <w:t xml:space="preserve"> mise à la charge de</w:t>
      </w:r>
      <w:r w:rsidR="00E564DA" w:rsidRPr="00BE1070">
        <w:rPr>
          <w:rFonts w:ascii="Arial" w:hAnsi="Arial" w:cs="Arial"/>
        </w:rPr>
        <w:t xml:space="preserve"> </w:t>
      </w:r>
      <w:r w:rsidR="005908B8" w:rsidRPr="00BE1070">
        <w:rPr>
          <w:rFonts w:ascii="Arial" w:hAnsi="Arial" w:cs="Arial"/>
          <w:highlight w:val="yellow"/>
        </w:rPr>
        <w:t>[</w:t>
      </w:r>
      <w:r w:rsidR="00D237B5">
        <w:rPr>
          <w:rFonts w:ascii="Arial" w:hAnsi="Arial" w:cs="Arial"/>
          <w:highlight w:val="yellow"/>
        </w:rPr>
        <w:t>n</w:t>
      </w:r>
      <w:r w:rsidR="00F353F7">
        <w:rPr>
          <w:rFonts w:ascii="Arial" w:hAnsi="Arial" w:cs="Arial"/>
          <w:highlight w:val="yellow"/>
        </w:rPr>
        <w:t>o</w:t>
      </w:r>
      <w:r w:rsidR="00E564DA" w:rsidRPr="00BE1070">
        <w:rPr>
          <w:rFonts w:ascii="Arial" w:hAnsi="Arial" w:cs="Arial"/>
          <w:highlight w:val="yellow"/>
        </w:rPr>
        <w:t>m</w:t>
      </w:r>
      <w:r w:rsidR="000B133B">
        <w:rPr>
          <w:rFonts w:ascii="Arial" w:hAnsi="Arial" w:cs="Arial"/>
          <w:highlight w:val="yellow"/>
        </w:rPr>
        <w:t xml:space="preserve"> du propriétaire foncier/de la propriétaire foncière</w:t>
      </w:r>
      <w:r w:rsidR="005908B8" w:rsidRPr="00BE1070">
        <w:rPr>
          <w:rFonts w:ascii="Arial" w:hAnsi="Arial" w:cs="Arial"/>
          <w:highlight w:val="yellow"/>
        </w:rPr>
        <w:t>]</w:t>
      </w:r>
      <w:r w:rsidR="00E564DA" w:rsidRPr="00BE1070">
        <w:rPr>
          <w:rFonts w:ascii="Arial" w:hAnsi="Arial" w:cs="Arial"/>
        </w:rPr>
        <w:t>.</w:t>
      </w:r>
    </w:p>
    <w:p w:rsidR="00DD1DC5" w:rsidRPr="00BE1070" w:rsidRDefault="00F353F7" w:rsidP="00E564DA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Le montant de la taxe arrêté dans la présente décision est soumis à la compensation du renchérissement selon </w:t>
      </w:r>
      <w:r w:rsidR="00ED534D" w:rsidRPr="00ED534D">
        <w:rPr>
          <w:rFonts w:ascii="Arial" w:hAnsi="Arial" w:cs="Arial"/>
        </w:rPr>
        <w:t>l'indice national des prix à la consommation</w:t>
      </w:r>
      <w:r w:rsidR="00F7027E">
        <w:rPr>
          <w:rFonts w:ascii="Arial" w:hAnsi="Arial" w:cs="Arial"/>
        </w:rPr>
        <w:t xml:space="preserve"> (base </w:t>
      </w:r>
      <w:r w:rsidR="00F7027E" w:rsidRPr="00F7027E">
        <w:rPr>
          <w:rFonts w:ascii="Arial" w:hAnsi="Arial" w:cs="Arial"/>
          <w:highlight w:val="yellow"/>
        </w:rPr>
        <w:t>XXX</w:t>
      </w:r>
      <w:r w:rsidR="00F7027E">
        <w:rPr>
          <w:rFonts w:ascii="Arial" w:hAnsi="Arial" w:cs="Arial"/>
        </w:rPr>
        <w:t>)</w:t>
      </w:r>
      <w:r w:rsidR="00DD1DC5" w:rsidRPr="00BE1070">
        <w:rPr>
          <w:rFonts w:ascii="Arial" w:hAnsi="Arial" w:cs="Arial"/>
        </w:rPr>
        <w:t>.</w:t>
      </w:r>
    </w:p>
    <w:p w:rsidR="005908B8" w:rsidRPr="00BE1070" w:rsidRDefault="009019F2" w:rsidP="005908B8">
      <w:pPr>
        <w:pStyle w:val="Listenabsatz"/>
        <w:numPr>
          <w:ilvl w:val="0"/>
          <w:numId w:val="4"/>
        </w:numPr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La taxe </w:t>
      </w:r>
      <w:r w:rsidR="007C01C2">
        <w:rPr>
          <w:rFonts w:ascii="Arial" w:hAnsi="Arial" w:cs="Arial"/>
        </w:rPr>
        <w:t xml:space="preserve">sur la plus-value </w:t>
      </w:r>
      <w:r>
        <w:rPr>
          <w:rFonts w:ascii="Arial" w:hAnsi="Arial" w:cs="Arial"/>
        </w:rPr>
        <w:t xml:space="preserve">fixée </w:t>
      </w:r>
      <w:r w:rsidR="001C41DB">
        <w:rPr>
          <w:rFonts w:ascii="Arial" w:hAnsi="Arial" w:cs="Arial"/>
        </w:rPr>
        <w:t xml:space="preserve">au </w:t>
      </w:r>
      <w:r>
        <w:rPr>
          <w:rFonts w:ascii="Arial" w:hAnsi="Arial" w:cs="Arial"/>
        </w:rPr>
        <w:t>chiffre 1 devient exigible lorsque la plus-value résultant de la mesure d’aménagement est réalisée suite à une construction (art. 2, al. 2 du décret du 22 mars 1994 concernant la procédure d’octroi du permis de construire [DPC</w:t>
      </w:r>
      <w:r w:rsidR="00D237B5">
        <w:rPr>
          <w:rFonts w:ascii="Arial" w:hAnsi="Arial" w:cs="Arial"/>
        </w:rPr>
        <w:t>;</w:t>
      </w:r>
      <w:r w:rsidR="0093687A" w:rsidRPr="00BE10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RSB</w:t>
      </w:r>
      <w:r w:rsidR="0093687A" w:rsidRPr="00BE1070">
        <w:rPr>
          <w:rFonts w:ascii="Arial" w:hAnsi="Arial" w:cs="Arial"/>
        </w:rPr>
        <w:t xml:space="preserve"> 725.1])</w:t>
      </w:r>
      <w:r w:rsidR="005908B8" w:rsidRPr="00BE1070">
        <w:rPr>
          <w:rFonts w:ascii="Arial" w:hAnsi="Arial" w:cs="Arial"/>
        </w:rPr>
        <w:t xml:space="preserve"> </w:t>
      </w:r>
      <w:r w:rsidR="00C368A0">
        <w:rPr>
          <w:rFonts w:ascii="Arial" w:hAnsi="Arial" w:cs="Arial"/>
        </w:rPr>
        <w:t>ou à une aliénation (art.</w:t>
      </w:r>
      <w:r>
        <w:rPr>
          <w:rFonts w:ascii="Arial" w:hAnsi="Arial" w:cs="Arial"/>
        </w:rPr>
        <w:t xml:space="preserve"> 130 de la loi</w:t>
      </w:r>
      <w:r w:rsidR="00C368A0">
        <w:rPr>
          <w:rFonts w:ascii="Arial" w:hAnsi="Arial" w:cs="Arial"/>
        </w:rPr>
        <w:t xml:space="preserve"> du 21 mai 2000 sur les impôts [</w:t>
      </w:r>
      <w:r>
        <w:rPr>
          <w:rFonts w:ascii="Arial" w:hAnsi="Arial" w:cs="Arial"/>
        </w:rPr>
        <w:t>LI</w:t>
      </w:r>
      <w:r w:rsidR="00D237B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RSB 661.11</w:t>
      </w:r>
      <w:r w:rsidR="00C368A0">
        <w:rPr>
          <w:rFonts w:ascii="Arial" w:hAnsi="Arial" w:cs="Arial"/>
        </w:rPr>
        <w:t>] appliqué par analogie</w:t>
      </w:r>
      <w:r>
        <w:rPr>
          <w:rFonts w:ascii="Arial" w:hAnsi="Arial" w:cs="Arial"/>
        </w:rPr>
        <w:t>)</w:t>
      </w:r>
      <w:r w:rsidR="00C368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cas de construction ou d’aliénation d’une partie du bien-fonds, la taxe est due au pro rata</w:t>
      </w:r>
      <w:r w:rsidR="005908B8" w:rsidRPr="00BE1070">
        <w:rPr>
          <w:rFonts w:ascii="Arial" w:hAnsi="Arial" w:cs="Arial"/>
        </w:rPr>
        <w:t>.</w:t>
      </w:r>
    </w:p>
    <w:p w:rsidR="00E564DA" w:rsidRPr="00BE1070" w:rsidRDefault="009019F2" w:rsidP="005908B8">
      <w:pPr>
        <w:pStyle w:val="Listenabsatz"/>
        <w:numPr>
          <w:ilvl w:val="0"/>
          <w:numId w:val="4"/>
        </w:numPr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La taxe doit être payée dans les 30 jours suivant la date où elle devient exigible.</w:t>
      </w:r>
      <w:r w:rsidRPr="009019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 intérêts moratoires de </w:t>
      </w:r>
      <w:r w:rsidRPr="00752AC3">
        <w:rPr>
          <w:rFonts w:ascii="Arial" w:hAnsi="Arial" w:cs="Arial"/>
          <w:highlight w:val="yellow"/>
        </w:rPr>
        <w:t>XXX</w:t>
      </w:r>
      <w:r w:rsidR="00C03772">
        <w:rPr>
          <w:rFonts w:ascii="Arial" w:hAnsi="Arial" w:cs="Arial"/>
        </w:rPr>
        <w:t xml:space="preserve"> pour cent</w:t>
      </w:r>
      <w:r>
        <w:rPr>
          <w:rFonts w:ascii="Arial" w:hAnsi="Arial" w:cs="Arial"/>
        </w:rPr>
        <w:t xml:space="preserve"> sont dus en cas de retard de paiement. </w:t>
      </w:r>
    </w:p>
    <w:p w:rsidR="002473D3" w:rsidRDefault="009019F2" w:rsidP="006B28ED">
      <w:pPr>
        <w:pStyle w:val="Listenabsatz"/>
        <w:numPr>
          <w:ilvl w:val="0"/>
          <w:numId w:val="4"/>
        </w:numPr>
        <w:ind w:hanging="720"/>
        <w:contextualSpacing w:val="0"/>
        <w:rPr>
          <w:rFonts w:ascii="Arial" w:hAnsi="Arial" w:cs="Arial"/>
        </w:rPr>
      </w:pPr>
      <w:r w:rsidRPr="002473D3">
        <w:rPr>
          <w:rFonts w:ascii="Arial" w:hAnsi="Arial" w:cs="Arial"/>
        </w:rPr>
        <w:t>La créance selon le chiffre 1 et les intérêts moratoires selon le chiffre 3 ci-dessus sont garantis par une hypothèse légale</w:t>
      </w:r>
      <w:r w:rsidR="00CB0343" w:rsidRPr="002473D3">
        <w:rPr>
          <w:rFonts w:ascii="Arial" w:hAnsi="Arial" w:cs="Arial"/>
        </w:rPr>
        <w:t xml:space="preserve"> </w:t>
      </w:r>
      <w:r w:rsidR="00B056F2" w:rsidRPr="002473D3">
        <w:rPr>
          <w:rFonts w:ascii="Arial" w:hAnsi="Arial" w:cs="Arial"/>
        </w:rPr>
        <w:t xml:space="preserve">directe </w:t>
      </w:r>
      <w:r w:rsidR="00CB0343" w:rsidRPr="002473D3">
        <w:rPr>
          <w:rFonts w:ascii="Arial" w:hAnsi="Arial" w:cs="Arial"/>
        </w:rPr>
        <w:t xml:space="preserve">sur le bien-fonds </w:t>
      </w:r>
      <w:r w:rsidR="00CB0343" w:rsidRPr="002473D3">
        <w:rPr>
          <w:rFonts w:ascii="Arial" w:hAnsi="Arial" w:cs="Arial"/>
          <w:highlight w:val="yellow"/>
        </w:rPr>
        <w:t>XXX</w:t>
      </w:r>
      <w:r w:rsidRPr="002473D3">
        <w:rPr>
          <w:rFonts w:ascii="Arial" w:hAnsi="Arial" w:cs="Arial"/>
        </w:rPr>
        <w:t xml:space="preserve"> en faveur de la commune</w:t>
      </w:r>
      <w:r w:rsidR="00CB0343" w:rsidRPr="002473D3">
        <w:rPr>
          <w:rFonts w:ascii="Arial" w:hAnsi="Arial" w:cs="Arial"/>
        </w:rPr>
        <w:t xml:space="preserve"> </w:t>
      </w:r>
      <w:r w:rsidR="002D6E7F" w:rsidRPr="002473D3">
        <w:rPr>
          <w:rFonts w:ascii="Arial" w:hAnsi="Arial" w:cs="Arial"/>
        </w:rPr>
        <w:t>de/d’</w:t>
      </w:r>
      <w:r w:rsidR="00CB0343" w:rsidRPr="002473D3">
        <w:rPr>
          <w:rFonts w:ascii="Arial" w:hAnsi="Arial" w:cs="Arial"/>
          <w:highlight w:val="yellow"/>
        </w:rPr>
        <w:t>XXX</w:t>
      </w:r>
      <w:r w:rsidR="00CB0343" w:rsidRPr="002473D3">
        <w:rPr>
          <w:rFonts w:ascii="Arial" w:hAnsi="Arial" w:cs="Arial"/>
        </w:rPr>
        <w:t xml:space="preserve"> en application de </w:t>
      </w:r>
      <w:r w:rsidR="00B056F2" w:rsidRPr="002473D3">
        <w:rPr>
          <w:rFonts w:ascii="Arial" w:hAnsi="Arial" w:cs="Arial"/>
        </w:rPr>
        <w:t xml:space="preserve">l’article 142e LC en relation avec </w:t>
      </w:r>
      <w:r w:rsidR="00CB0343" w:rsidRPr="002473D3">
        <w:rPr>
          <w:rFonts w:ascii="Arial" w:hAnsi="Arial" w:cs="Arial"/>
        </w:rPr>
        <w:t>l’article 109a,</w:t>
      </w:r>
      <w:r w:rsidR="00B056F2" w:rsidRPr="002473D3">
        <w:rPr>
          <w:rFonts w:ascii="Arial" w:hAnsi="Arial" w:cs="Arial"/>
        </w:rPr>
        <w:t xml:space="preserve"> alinéa 1,</w:t>
      </w:r>
      <w:r w:rsidR="00CB0343" w:rsidRPr="002473D3">
        <w:rPr>
          <w:rFonts w:ascii="Arial" w:hAnsi="Arial" w:cs="Arial"/>
        </w:rPr>
        <w:t xml:space="preserve"> lettre </w:t>
      </w:r>
      <w:r w:rsidR="00B056F2" w:rsidRPr="002473D3">
        <w:rPr>
          <w:rFonts w:ascii="Arial" w:hAnsi="Arial" w:cs="Arial"/>
          <w:i/>
        </w:rPr>
        <w:t>d1</w:t>
      </w:r>
      <w:r w:rsidR="002473D3">
        <w:rPr>
          <w:rFonts w:ascii="Arial" w:hAnsi="Arial" w:cs="Arial"/>
        </w:rPr>
        <w:t xml:space="preserve"> LiCCS.</w:t>
      </w:r>
    </w:p>
    <w:p w:rsidR="0093687A" w:rsidRPr="002473D3" w:rsidRDefault="00CB0343" w:rsidP="006B28ED">
      <w:pPr>
        <w:pStyle w:val="Listenabsatz"/>
        <w:numPr>
          <w:ilvl w:val="0"/>
          <w:numId w:val="4"/>
        </w:numPr>
        <w:ind w:hanging="720"/>
        <w:contextualSpacing w:val="0"/>
        <w:rPr>
          <w:rFonts w:ascii="Arial" w:hAnsi="Arial" w:cs="Arial"/>
        </w:rPr>
      </w:pPr>
      <w:r w:rsidRPr="002473D3">
        <w:rPr>
          <w:rFonts w:ascii="Arial" w:hAnsi="Arial" w:cs="Arial"/>
        </w:rPr>
        <w:t>Il n’est pas perçu de frais de procédure</w:t>
      </w:r>
      <w:r w:rsidR="0093687A" w:rsidRPr="002473D3">
        <w:rPr>
          <w:rFonts w:ascii="Arial" w:hAnsi="Arial" w:cs="Arial"/>
        </w:rPr>
        <w:t>.</w:t>
      </w:r>
    </w:p>
    <w:p w:rsidR="00011D3E" w:rsidRPr="00BE1070" w:rsidRDefault="0093687A" w:rsidP="009E0DBD">
      <w:pPr>
        <w:pStyle w:val="Listenabsatz"/>
        <w:shd w:val="clear" w:color="auto" w:fill="EAF1DD" w:themeFill="accent3" w:themeFillTint="33"/>
        <w:contextualSpacing w:val="0"/>
        <w:rPr>
          <w:rFonts w:ascii="Arial" w:hAnsi="Arial" w:cs="Arial"/>
        </w:rPr>
      </w:pPr>
      <w:r w:rsidRPr="00BE1070">
        <w:rPr>
          <w:rFonts w:ascii="Arial" w:hAnsi="Arial" w:cs="Arial"/>
          <w:i/>
        </w:rPr>
        <w:t>Variante</w:t>
      </w:r>
      <w:r w:rsidR="00D237B5">
        <w:rPr>
          <w:rFonts w:ascii="Arial" w:hAnsi="Arial" w:cs="Arial"/>
          <w:i/>
        </w:rPr>
        <w:t>:</w:t>
      </w:r>
      <w:r w:rsidRPr="00BE1070">
        <w:rPr>
          <w:rFonts w:ascii="Arial" w:hAnsi="Arial" w:cs="Arial"/>
          <w:i/>
        </w:rPr>
        <w:br/>
      </w:r>
      <w:r w:rsidR="00CB0343">
        <w:rPr>
          <w:rFonts w:ascii="Arial" w:hAnsi="Arial" w:cs="Arial"/>
        </w:rPr>
        <w:t xml:space="preserve">Les frais de procédure afférents à la présente décision sont fixés à </w:t>
      </w:r>
      <w:r w:rsidR="00CB0343" w:rsidRPr="00CB0343">
        <w:rPr>
          <w:rFonts w:ascii="Arial" w:hAnsi="Arial" w:cs="Arial"/>
          <w:highlight w:val="yellow"/>
        </w:rPr>
        <w:t>XXX</w:t>
      </w:r>
      <w:r w:rsidR="00CB0343">
        <w:rPr>
          <w:rFonts w:ascii="Arial" w:hAnsi="Arial" w:cs="Arial"/>
        </w:rPr>
        <w:t xml:space="preserve"> </w:t>
      </w:r>
      <w:r w:rsidR="001C41DB">
        <w:rPr>
          <w:rFonts w:ascii="Arial" w:hAnsi="Arial" w:cs="Arial"/>
        </w:rPr>
        <w:t xml:space="preserve">francs </w:t>
      </w:r>
      <w:r w:rsidR="00CB0343">
        <w:rPr>
          <w:rFonts w:ascii="Arial" w:hAnsi="Arial" w:cs="Arial"/>
        </w:rPr>
        <w:t>et mis à la charge du propriétaire foncier</w:t>
      </w:r>
      <w:r w:rsidR="001C41DB">
        <w:rPr>
          <w:rFonts w:ascii="Arial" w:hAnsi="Arial" w:cs="Arial"/>
        </w:rPr>
        <w:t>/de la propriétaire foncière</w:t>
      </w:r>
      <w:r w:rsidR="00011D3E" w:rsidRPr="00BE1070">
        <w:rPr>
          <w:rFonts w:ascii="Arial" w:hAnsi="Arial" w:cs="Arial"/>
        </w:rPr>
        <w:t>.</w:t>
      </w:r>
    </w:p>
    <w:p w:rsidR="00C63C93" w:rsidRPr="00BE1070" w:rsidRDefault="00CB0343" w:rsidP="00011D3E">
      <w:pPr>
        <w:pStyle w:val="Listenabsatz"/>
        <w:numPr>
          <w:ilvl w:val="0"/>
          <w:numId w:val="4"/>
        </w:numPr>
        <w:spacing w:after="0"/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Notification</w:t>
      </w:r>
    </w:p>
    <w:p w:rsidR="00C63C93" w:rsidRPr="00BE1070" w:rsidRDefault="00CB0343" w:rsidP="00907582">
      <w:pPr>
        <w:pStyle w:val="Listenabsatz"/>
        <w:numPr>
          <w:ilvl w:val="1"/>
          <w:numId w:val="4"/>
        </w:numPr>
        <w:spacing w:after="0"/>
        <w:ind w:left="1134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au propriétaire foncier</w:t>
      </w:r>
      <w:r w:rsidR="001C41DB">
        <w:rPr>
          <w:rFonts w:ascii="Arial" w:hAnsi="Arial" w:cs="Arial"/>
        </w:rPr>
        <w:t>/à la propriétaire foncière</w:t>
      </w:r>
      <w:r>
        <w:rPr>
          <w:rFonts w:ascii="Arial" w:hAnsi="Arial" w:cs="Arial"/>
        </w:rPr>
        <w:t xml:space="preserve"> (par courrier recommandé),</w:t>
      </w:r>
    </w:p>
    <w:p w:rsidR="00C63C93" w:rsidRPr="00BE1070" w:rsidRDefault="0049659D" w:rsidP="00907582">
      <w:pPr>
        <w:pStyle w:val="Listenabsatz"/>
        <w:numPr>
          <w:ilvl w:val="1"/>
          <w:numId w:val="4"/>
        </w:numPr>
        <w:spacing w:after="0"/>
        <w:ind w:left="1134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à l’</w:t>
      </w:r>
      <w:r w:rsidR="00CB0343">
        <w:rPr>
          <w:rFonts w:ascii="Arial" w:hAnsi="Arial" w:cs="Arial"/>
        </w:rPr>
        <w:t>Office des affaires communales et de l’organisation du territoire</w:t>
      </w:r>
      <w:r w:rsidR="001C41DB">
        <w:rPr>
          <w:rFonts w:ascii="Arial" w:hAnsi="Arial" w:cs="Arial"/>
        </w:rPr>
        <w:t xml:space="preserve"> </w:t>
      </w:r>
      <w:r w:rsidR="00A13821">
        <w:rPr>
          <w:rFonts w:ascii="Arial" w:hAnsi="Arial" w:cs="Arial"/>
        </w:rPr>
        <w:t xml:space="preserve">(par courrier recommandé) </w:t>
      </w:r>
      <w:r w:rsidR="001C41DB">
        <w:rPr>
          <w:rFonts w:ascii="Arial" w:hAnsi="Arial" w:cs="Arial"/>
        </w:rPr>
        <w:t>et</w:t>
      </w:r>
    </w:p>
    <w:p w:rsidR="00011D3E" w:rsidRPr="00BE1070" w:rsidRDefault="00CB0343" w:rsidP="00907582">
      <w:pPr>
        <w:pStyle w:val="Listenabsatz"/>
        <w:numPr>
          <w:ilvl w:val="1"/>
          <w:numId w:val="4"/>
        </w:numPr>
        <w:spacing w:after="0"/>
        <w:ind w:left="1134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au bureau du registre foncier de</w:t>
      </w:r>
      <w:r w:rsidR="00D237B5">
        <w:rPr>
          <w:rFonts w:ascii="Arial" w:hAnsi="Arial" w:cs="Arial"/>
        </w:rPr>
        <w:t>/du</w:t>
      </w:r>
      <w:r w:rsidR="00011D3E" w:rsidRPr="00BE1070">
        <w:rPr>
          <w:rFonts w:ascii="Arial" w:hAnsi="Arial" w:cs="Arial"/>
        </w:rPr>
        <w:t xml:space="preserve"> </w:t>
      </w:r>
      <w:r w:rsidR="00011D3E" w:rsidRPr="00BE1070">
        <w:rPr>
          <w:rFonts w:ascii="Arial" w:hAnsi="Arial" w:cs="Arial"/>
          <w:highlight w:val="yellow"/>
        </w:rPr>
        <w:t>XXX</w:t>
      </w:r>
      <w:r w:rsidR="00011D3E" w:rsidRPr="00BE1070">
        <w:rPr>
          <w:rFonts w:ascii="Arial" w:hAnsi="Arial" w:cs="Arial"/>
        </w:rPr>
        <w:t>.</w:t>
      </w:r>
    </w:p>
    <w:p w:rsidR="00E803FE" w:rsidRPr="00BE1070" w:rsidRDefault="00E803FE" w:rsidP="00011D3E">
      <w:pPr>
        <w:tabs>
          <w:tab w:val="left" w:pos="709"/>
        </w:tabs>
        <w:rPr>
          <w:rFonts w:ascii="Arial" w:hAnsi="Arial" w:cs="Arial"/>
        </w:rPr>
      </w:pPr>
    </w:p>
    <w:p w:rsidR="00011D3E" w:rsidRPr="00BE1070" w:rsidRDefault="001C41DB" w:rsidP="00011D3E">
      <w:pPr>
        <w:tabs>
          <w:tab w:val="left" w:pos="709"/>
        </w:tabs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INDICATION DES </w:t>
      </w:r>
      <w:r w:rsidR="00CB0343">
        <w:rPr>
          <w:rFonts w:ascii="Arial" w:eastAsia="Calibri" w:hAnsi="Arial" w:cs="Arial"/>
          <w:b/>
          <w:i/>
        </w:rPr>
        <w:t>VOIES DE DROIT</w:t>
      </w:r>
    </w:p>
    <w:p w:rsidR="00011D3E" w:rsidRPr="001C41DB" w:rsidRDefault="001C41DB" w:rsidP="00DD1DC5">
      <w:pPr>
        <w:tabs>
          <w:tab w:val="left" w:pos="709"/>
        </w:tabs>
        <w:rPr>
          <w:rFonts w:ascii="Arial" w:hAnsi="Arial" w:cs="Arial"/>
        </w:rPr>
      </w:pPr>
      <w:r w:rsidRPr="00A25137">
        <w:rPr>
          <w:rFonts w:ascii="Arial" w:hAnsi="Arial" w:cs="Arial"/>
          <w:i/>
        </w:rPr>
        <w:t>La présente décision peut, dans un délai de 30 jours à compter de sa notification, faire l'objet d</w:t>
      </w:r>
      <w:r w:rsidR="00A25137" w:rsidRPr="00A25137">
        <w:rPr>
          <w:rFonts w:ascii="Arial" w:hAnsi="Arial" w:cs="Arial"/>
          <w:i/>
        </w:rPr>
        <w:t>’</w:t>
      </w:r>
      <w:r w:rsidRPr="00A25137">
        <w:rPr>
          <w:rFonts w:ascii="Arial" w:hAnsi="Arial" w:cs="Arial"/>
          <w:i/>
        </w:rPr>
        <w:t xml:space="preserve">un recours formé par écrit </w:t>
      </w:r>
      <w:r w:rsidR="00A25137" w:rsidRPr="00A25137">
        <w:rPr>
          <w:rFonts w:ascii="Arial" w:eastAsia="Calibri" w:hAnsi="Arial" w:cs="Arial"/>
          <w:i/>
        </w:rPr>
        <w:t xml:space="preserve">devant la préfecture de/du </w:t>
      </w:r>
      <w:r w:rsidR="00A25137" w:rsidRPr="00A25137">
        <w:rPr>
          <w:rFonts w:ascii="Arial" w:eastAsia="Calibri" w:hAnsi="Arial" w:cs="Arial"/>
          <w:i/>
          <w:highlight w:val="yellow"/>
        </w:rPr>
        <w:t>XXX</w:t>
      </w:r>
      <w:r w:rsidRPr="00A25137">
        <w:rPr>
          <w:rFonts w:ascii="Arial" w:hAnsi="Arial" w:cs="Arial"/>
          <w:i/>
        </w:rPr>
        <w:t xml:space="preserve">. Le recours doit être produit en deux exemplaires au moins. Il doit contenir les conclusions, l’indication des faits, moyens de preuve et motifs et porter une signature; </w:t>
      </w:r>
      <w:r w:rsidR="00A25137" w:rsidRPr="00A25137">
        <w:rPr>
          <w:rFonts w:ascii="Arial" w:eastAsia="Calibri" w:hAnsi="Arial" w:cs="Arial"/>
          <w:i/>
        </w:rPr>
        <w:t xml:space="preserve">la décision contestée et </w:t>
      </w:r>
      <w:r w:rsidRPr="00A25137">
        <w:rPr>
          <w:rFonts w:ascii="Arial" w:hAnsi="Arial" w:cs="Arial"/>
          <w:i/>
        </w:rPr>
        <w:t>les moyens de preuve disponibles seront joints à l'envoi.</w:t>
      </w:r>
    </w:p>
    <w:sectPr w:rsidR="00011D3E" w:rsidRPr="001C41DB" w:rsidSect="00907582">
      <w:footerReference w:type="defaul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97" w:rsidRDefault="00DF4397" w:rsidP="00E803FE">
      <w:pPr>
        <w:spacing w:after="0" w:line="240" w:lineRule="auto"/>
      </w:pPr>
      <w:r>
        <w:separator/>
      </w:r>
    </w:p>
  </w:endnote>
  <w:endnote w:type="continuationSeparator" w:id="0">
    <w:p w:rsidR="00DF4397" w:rsidRDefault="00DF4397" w:rsidP="00E8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46983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07582" w:rsidRPr="00907582" w:rsidRDefault="00DC48E7" w:rsidP="00907582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907582">
          <w:rPr>
            <w:rFonts w:ascii="Arial" w:hAnsi="Arial" w:cs="Arial"/>
            <w:sz w:val="20"/>
            <w:szCs w:val="20"/>
          </w:rPr>
          <w:fldChar w:fldCharType="begin"/>
        </w:r>
        <w:r w:rsidR="00907582" w:rsidRPr="00907582">
          <w:rPr>
            <w:rFonts w:ascii="Arial" w:hAnsi="Arial" w:cs="Arial"/>
            <w:sz w:val="20"/>
            <w:szCs w:val="20"/>
          </w:rPr>
          <w:instrText>PAGE   \* MERGEFORMAT</w:instrText>
        </w:r>
        <w:r w:rsidRPr="00907582">
          <w:rPr>
            <w:rFonts w:ascii="Arial" w:hAnsi="Arial" w:cs="Arial"/>
            <w:sz w:val="20"/>
            <w:szCs w:val="20"/>
          </w:rPr>
          <w:fldChar w:fldCharType="separate"/>
        </w:r>
        <w:r w:rsidR="00CD45EB" w:rsidRPr="00CD45EB">
          <w:rPr>
            <w:rFonts w:ascii="Arial" w:hAnsi="Arial" w:cs="Arial"/>
            <w:noProof/>
            <w:sz w:val="20"/>
            <w:szCs w:val="20"/>
            <w:lang w:val="de-DE"/>
          </w:rPr>
          <w:t>4</w:t>
        </w:r>
        <w:r w:rsidRPr="0090758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07582" w:rsidRDefault="009075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97" w:rsidRDefault="00DF4397" w:rsidP="00E803FE">
      <w:pPr>
        <w:spacing w:after="0" w:line="240" w:lineRule="auto"/>
      </w:pPr>
      <w:r>
        <w:separator/>
      </w:r>
    </w:p>
  </w:footnote>
  <w:footnote w:type="continuationSeparator" w:id="0">
    <w:p w:rsidR="00DF4397" w:rsidRDefault="00DF4397" w:rsidP="00E80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6337"/>
    <w:multiLevelType w:val="hybridMultilevel"/>
    <w:tmpl w:val="59E03D0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E445B"/>
    <w:multiLevelType w:val="hybridMultilevel"/>
    <w:tmpl w:val="138A01A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55DE6"/>
    <w:multiLevelType w:val="hybridMultilevel"/>
    <w:tmpl w:val="3946805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E70C5"/>
    <w:multiLevelType w:val="hybridMultilevel"/>
    <w:tmpl w:val="E63E58A2"/>
    <w:lvl w:ilvl="0" w:tplc="90B603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LINGUA-PC_20191202"/>
    <w:docVar w:name="TermBaseURL" w:val="empty"/>
    <w:docVar w:name="TextBases" w:val="s3011iis001pg68.sta.be.ch\TextBase TMs\Canton de Berne\BELEX 2016 (LexWork)|s3011iis001pg68.sta.be.ch\TextBase TMs\Canton de Berne\BELEX_Historique|s3011iis001pg68.sta.be.ch\TextBase TMs\Canton de Berne\BSIG|s3011iis001pg68.sta.be.ch\TextBase TMs\Canton de Berne\Canton de Berne|s3011iis001pg68.sta.be.ch\TextBase TMs\Canton de Berne\ComBE|s3011iis001pg68.sta.be.ch\TextBase TMs\Canton de Berne\Conf_2019-12|s3011iis001pg68.sta.be.ch\TextBase TMs\Canton de Berne\Dubious_Aliens|s3011iis001pg68.sta.be.ch\TextBase TMs\CHA\CHA_valide|s3011iis001pg68.sta.be.ch\TextBase TMs\DEEE\DEEE_valide|s3011iis001pg68.sta.be.ch\TextBase TMs\DIJ\DIJ_interne|s3011iis001pg68.sta.be.ch\TextBase TMs\DIJ\DIJ_temporaire|s3011iis001pg68.sta.be.ch\TextBase TMs\DIJ\DIJ_valide|s3011iis001pg68.sta.be.ch\TextBase TMs\DSE\DSE_valide|s3011iis001pg68.sta.be.ch\TextBase TMs\DSSI\DSSI_valide|s3011iis001pg68.sta.be.ch\TextBase TMs\DTT\DTT_valide|s3011iis001pg68.sta.be.ch\TextBase TMs\ECO\ECO_valide|s3011iis001pg68.sta.be.ch\TextBase TMs\FIN SG\FIN-SG_valide|s3011iis001pg68.sta.be.ch\TextBase TMs\FIN-ICI\FIN-ICI_valide|s3011iis001pg68.sta.be.ch\TextBase TMs\INC\INC_valide|s3011iis001pg68.sta.be.ch\TextBase TMs\INS\INS_valide|s3011iis001pg68.sta.be.ch\TextBase TMs\JCE\JCE_interne|s3011iis001pg68.sta.be.ch\TextBase TMs\JCE\JCE_Temporaire|s3011iis001pg68.sta.be.ch\TextBase TMs\JCE\JCE_valide|s3011iis001pg68.sta.be.ch\TextBase TMs\JCE\kontenrahmen-v5|s3011iis001pg68.sta.be.ch\TextBase TMs\JCE\plancomptable|s3011iis001pg68.sta.be.ch\TextBase TMs\Police\Police_valide|s3011iis001pg68.sta.be.ch\TextBase TMs\POM\POM_valide|s3011iis001pg68.sta.be.ch\TextBase TMs\Processus cantonaux\Processus cantonaux 2017|s3011iis001pg68.sta.be.ch\TextBase TMs\Processus cantonaux\Processus cantonaux 2018|s3011iis001pg68.sta.be.ch\TextBase TMs\Processus cantonaux\Processus cantonaux 2019|s3011iis001pg68.sta.be.ch\TextBase TMs\SAP\SAP_valide|s3011iis001pg68.sta.be.ch\TextBase TMs\TTE\TTE_pour AGI|s3011iis001pg68.sta.be.ch\TextBase TMs\TTE\TTE_valide"/>
    <w:docVar w:name="TextBaseURL" w:val="empty"/>
    <w:docVar w:name="UILng" w:val="fr"/>
  </w:docVars>
  <w:rsids>
    <w:rsidRoot w:val="006D58EF"/>
    <w:rsid w:val="00000080"/>
    <w:rsid w:val="0000173D"/>
    <w:rsid w:val="00002054"/>
    <w:rsid w:val="00003ABD"/>
    <w:rsid w:val="00011D3E"/>
    <w:rsid w:val="00013544"/>
    <w:rsid w:val="0001370B"/>
    <w:rsid w:val="00013B44"/>
    <w:rsid w:val="000264CE"/>
    <w:rsid w:val="00031C45"/>
    <w:rsid w:val="00042CC2"/>
    <w:rsid w:val="000559CF"/>
    <w:rsid w:val="00057F58"/>
    <w:rsid w:val="00063846"/>
    <w:rsid w:val="00066416"/>
    <w:rsid w:val="000664E2"/>
    <w:rsid w:val="0007741A"/>
    <w:rsid w:val="0008253C"/>
    <w:rsid w:val="00082FC2"/>
    <w:rsid w:val="000A097E"/>
    <w:rsid w:val="000B133B"/>
    <w:rsid w:val="000B39D8"/>
    <w:rsid w:val="000C0CDD"/>
    <w:rsid w:val="000D1F03"/>
    <w:rsid w:val="000D2E5D"/>
    <w:rsid w:val="000D594F"/>
    <w:rsid w:val="000E2B1F"/>
    <w:rsid w:val="000F6015"/>
    <w:rsid w:val="000F614D"/>
    <w:rsid w:val="00101713"/>
    <w:rsid w:val="00110243"/>
    <w:rsid w:val="001152F9"/>
    <w:rsid w:val="00135C1C"/>
    <w:rsid w:val="00143B3B"/>
    <w:rsid w:val="00146266"/>
    <w:rsid w:val="00150CF0"/>
    <w:rsid w:val="00166E4C"/>
    <w:rsid w:val="00190C00"/>
    <w:rsid w:val="001A2BDE"/>
    <w:rsid w:val="001C41DB"/>
    <w:rsid w:val="001C7F84"/>
    <w:rsid w:val="001D380A"/>
    <w:rsid w:val="001D61F5"/>
    <w:rsid w:val="001F25DF"/>
    <w:rsid w:val="001F35CE"/>
    <w:rsid w:val="001F61F2"/>
    <w:rsid w:val="001F7121"/>
    <w:rsid w:val="002056BC"/>
    <w:rsid w:val="0021034D"/>
    <w:rsid w:val="00216323"/>
    <w:rsid w:val="00220F69"/>
    <w:rsid w:val="00222D82"/>
    <w:rsid w:val="00227CF7"/>
    <w:rsid w:val="00236994"/>
    <w:rsid w:val="00237D3F"/>
    <w:rsid w:val="002473D3"/>
    <w:rsid w:val="00285526"/>
    <w:rsid w:val="002916FD"/>
    <w:rsid w:val="00292714"/>
    <w:rsid w:val="002A02CB"/>
    <w:rsid w:val="002A5A5D"/>
    <w:rsid w:val="002B5341"/>
    <w:rsid w:val="002C2A9D"/>
    <w:rsid w:val="002D5293"/>
    <w:rsid w:val="002D6E7F"/>
    <w:rsid w:val="00300BA0"/>
    <w:rsid w:val="00312813"/>
    <w:rsid w:val="00321EF4"/>
    <w:rsid w:val="003324CB"/>
    <w:rsid w:val="00337B0E"/>
    <w:rsid w:val="00352F0B"/>
    <w:rsid w:val="00354A41"/>
    <w:rsid w:val="00360DDB"/>
    <w:rsid w:val="003874C2"/>
    <w:rsid w:val="00391F4A"/>
    <w:rsid w:val="003961D6"/>
    <w:rsid w:val="00397DF4"/>
    <w:rsid w:val="003A305B"/>
    <w:rsid w:val="003A4440"/>
    <w:rsid w:val="003A70A7"/>
    <w:rsid w:val="003B6E9A"/>
    <w:rsid w:val="003C6DF6"/>
    <w:rsid w:val="003D032D"/>
    <w:rsid w:val="003D169D"/>
    <w:rsid w:val="003E6B97"/>
    <w:rsid w:val="003E6CF4"/>
    <w:rsid w:val="003F1945"/>
    <w:rsid w:val="004029DC"/>
    <w:rsid w:val="00407672"/>
    <w:rsid w:val="00423BBB"/>
    <w:rsid w:val="00424218"/>
    <w:rsid w:val="00436E91"/>
    <w:rsid w:val="004430DE"/>
    <w:rsid w:val="004521EC"/>
    <w:rsid w:val="0045654F"/>
    <w:rsid w:val="00470A4C"/>
    <w:rsid w:val="00477437"/>
    <w:rsid w:val="004817A2"/>
    <w:rsid w:val="00485615"/>
    <w:rsid w:val="00490448"/>
    <w:rsid w:val="00496007"/>
    <w:rsid w:val="0049659D"/>
    <w:rsid w:val="00496CF5"/>
    <w:rsid w:val="004A30EC"/>
    <w:rsid w:val="004B7090"/>
    <w:rsid w:val="004B770A"/>
    <w:rsid w:val="004C2E40"/>
    <w:rsid w:val="004C2F87"/>
    <w:rsid w:val="004C4095"/>
    <w:rsid w:val="004E12A7"/>
    <w:rsid w:val="004E48B7"/>
    <w:rsid w:val="00500264"/>
    <w:rsid w:val="00501030"/>
    <w:rsid w:val="00511000"/>
    <w:rsid w:val="00524FF1"/>
    <w:rsid w:val="00526B01"/>
    <w:rsid w:val="00531FE1"/>
    <w:rsid w:val="00532746"/>
    <w:rsid w:val="00545361"/>
    <w:rsid w:val="00552ACE"/>
    <w:rsid w:val="00556B2D"/>
    <w:rsid w:val="005654CA"/>
    <w:rsid w:val="00565963"/>
    <w:rsid w:val="00570E8D"/>
    <w:rsid w:val="00572A7D"/>
    <w:rsid w:val="0058797E"/>
    <w:rsid w:val="005908B8"/>
    <w:rsid w:val="005A3361"/>
    <w:rsid w:val="005B6DF0"/>
    <w:rsid w:val="005C4C62"/>
    <w:rsid w:val="005D1605"/>
    <w:rsid w:val="005D3F96"/>
    <w:rsid w:val="005E3BA8"/>
    <w:rsid w:val="005E5562"/>
    <w:rsid w:val="005F1F0A"/>
    <w:rsid w:val="005F41A4"/>
    <w:rsid w:val="005F4F97"/>
    <w:rsid w:val="005F5237"/>
    <w:rsid w:val="00601D59"/>
    <w:rsid w:val="00606B91"/>
    <w:rsid w:val="00625ED4"/>
    <w:rsid w:val="0063653E"/>
    <w:rsid w:val="00645D25"/>
    <w:rsid w:val="0064667D"/>
    <w:rsid w:val="006521E2"/>
    <w:rsid w:val="00660245"/>
    <w:rsid w:val="00686092"/>
    <w:rsid w:val="00693EAA"/>
    <w:rsid w:val="006B1C9C"/>
    <w:rsid w:val="006B293E"/>
    <w:rsid w:val="006C204A"/>
    <w:rsid w:val="006D58EF"/>
    <w:rsid w:val="006E397E"/>
    <w:rsid w:val="006E4D7F"/>
    <w:rsid w:val="006E751E"/>
    <w:rsid w:val="006F2155"/>
    <w:rsid w:val="006F37BB"/>
    <w:rsid w:val="006F3930"/>
    <w:rsid w:val="00712B09"/>
    <w:rsid w:val="00713A23"/>
    <w:rsid w:val="00715955"/>
    <w:rsid w:val="00716C8B"/>
    <w:rsid w:val="00722568"/>
    <w:rsid w:val="00726923"/>
    <w:rsid w:val="0073128A"/>
    <w:rsid w:val="0075654F"/>
    <w:rsid w:val="007631D7"/>
    <w:rsid w:val="00765DE3"/>
    <w:rsid w:val="00767802"/>
    <w:rsid w:val="00774F46"/>
    <w:rsid w:val="00790AD5"/>
    <w:rsid w:val="007A0CD7"/>
    <w:rsid w:val="007B00FA"/>
    <w:rsid w:val="007B7801"/>
    <w:rsid w:val="007C01C2"/>
    <w:rsid w:val="007D52AB"/>
    <w:rsid w:val="007F4017"/>
    <w:rsid w:val="00802D8B"/>
    <w:rsid w:val="00805270"/>
    <w:rsid w:val="00810B2F"/>
    <w:rsid w:val="00811814"/>
    <w:rsid w:val="00820B1D"/>
    <w:rsid w:val="00826EE5"/>
    <w:rsid w:val="0083155F"/>
    <w:rsid w:val="008418AD"/>
    <w:rsid w:val="00847736"/>
    <w:rsid w:val="008477AA"/>
    <w:rsid w:val="0085115F"/>
    <w:rsid w:val="00851261"/>
    <w:rsid w:val="00854BD6"/>
    <w:rsid w:val="00864D0F"/>
    <w:rsid w:val="00873E51"/>
    <w:rsid w:val="008A276F"/>
    <w:rsid w:val="008B4E87"/>
    <w:rsid w:val="008B52DC"/>
    <w:rsid w:val="008D2747"/>
    <w:rsid w:val="008D2A4A"/>
    <w:rsid w:val="008D6C95"/>
    <w:rsid w:val="008E4C41"/>
    <w:rsid w:val="008E7930"/>
    <w:rsid w:val="008F2542"/>
    <w:rsid w:val="009019F2"/>
    <w:rsid w:val="00907582"/>
    <w:rsid w:val="00917057"/>
    <w:rsid w:val="00917645"/>
    <w:rsid w:val="009226E4"/>
    <w:rsid w:val="00925D43"/>
    <w:rsid w:val="00930573"/>
    <w:rsid w:val="00931254"/>
    <w:rsid w:val="00931911"/>
    <w:rsid w:val="0093687A"/>
    <w:rsid w:val="009412E9"/>
    <w:rsid w:val="009876B1"/>
    <w:rsid w:val="009A378E"/>
    <w:rsid w:val="009C0EF0"/>
    <w:rsid w:val="009E0DBD"/>
    <w:rsid w:val="009E5BE9"/>
    <w:rsid w:val="009E5BF7"/>
    <w:rsid w:val="009F023F"/>
    <w:rsid w:val="009F25E3"/>
    <w:rsid w:val="009F6BA3"/>
    <w:rsid w:val="009F793C"/>
    <w:rsid w:val="009F7E79"/>
    <w:rsid w:val="00A02167"/>
    <w:rsid w:val="00A03E14"/>
    <w:rsid w:val="00A1017B"/>
    <w:rsid w:val="00A13821"/>
    <w:rsid w:val="00A25137"/>
    <w:rsid w:val="00A26C21"/>
    <w:rsid w:val="00A3472E"/>
    <w:rsid w:val="00A37E7B"/>
    <w:rsid w:val="00A4270D"/>
    <w:rsid w:val="00A45F46"/>
    <w:rsid w:val="00A4733E"/>
    <w:rsid w:val="00A571D6"/>
    <w:rsid w:val="00A6303B"/>
    <w:rsid w:val="00A825CE"/>
    <w:rsid w:val="00A90701"/>
    <w:rsid w:val="00A91A58"/>
    <w:rsid w:val="00A91CA4"/>
    <w:rsid w:val="00AB2E29"/>
    <w:rsid w:val="00AC5C42"/>
    <w:rsid w:val="00AD505F"/>
    <w:rsid w:val="00AE0FA7"/>
    <w:rsid w:val="00B0267F"/>
    <w:rsid w:val="00B05422"/>
    <w:rsid w:val="00B056F2"/>
    <w:rsid w:val="00B32557"/>
    <w:rsid w:val="00B471A2"/>
    <w:rsid w:val="00B53DB6"/>
    <w:rsid w:val="00B5412C"/>
    <w:rsid w:val="00B6658F"/>
    <w:rsid w:val="00B75040"/>
    <w:rsid w:val="00B83D51"/>
    <w:rsid w:val="00B94A94"/>
    <w:rsid w:val="00B95CE6"/>
    <w:rsid w:val="00BB0209"/>
    <w:rsid w:val="00BB2FB5"/>
    <w:rsid w:val="00BE1070"/>
    <w:rsid w:val="00BE6B1C"/>
    <w:rsid w:val="00BE6BD6"/>
    <w:rsid w:val="00BE6D0B"/>
    <w:rsid w:val="00BF402E"/>
    <w:rsid w:val="00C03772"/>
    <w:rsid w:val="00C04B4F"/>
    <w:rsid w:val="00C04F63"/>
    <w:rsid w:val="00C06262"/>
    <w:rsid w:val="00C0631B"/>
    <w:rsid w:val="00C17339"/>
    <w:rsid w:val="00C2034B"/>
    <w:rsid w:val="00C24251"/>
    <w:rsid w:val="00C27401"/>
    <w:rsid w:val="00C368A0"/>
    <w:rsid w:val="00C630C4"/>
    <w:rsid w:val="00C63C93"/>
    <w:rsid w:val="00C64469"/>
    <w:rsid w:val="00C71B1F"/>
    <w:rsid w:val="00C816F1"/>
    <w:rsid w:val="00CA29B7"/>
    <w:rsid w:val="00CA780A"/>
    <w:rsid w:val="00CB0343"/>
    <w:rsid w:val="00CC53FB"/>
    <w:rsid w:val="00CC7425"/>
    <w:rsid w:val="00CD45EB"/>
    <w:rsid w:val="00CD5F94"/>
    <w:rsid w:val="00CE76C6"/>
    <w:rsid w:val="00CF130C"/>
    <w:rsid w:val="00D00C2F"/>
    <w:rsid w:val="00D054C9"/>
    <w:rsid w:val="00D237B5"/>
    <w:rsid w:val="00D309ED"/>
    <w:rsid w:val="00D512E3"/>
    <w:rsid w:val="00D74597"/>
    <w:rsid w:val="00D75D7A"/>
    <w:rsid w:val="00D84B77"/>
    <w:rsid w:val="00D973F0"/>
    <w:rsid w:val="00DA4645"/>
    <w:rsid w:val="00DB6328"/>
    <w:rsid w:val="00DC48E7"/>
    <w:rsid w:val="00DD1DC5"/>
    <w:rsid w:val="00DE13B5"/>
    <w:rsid w:val="00DE7E8F"/>
    <w:rsid w:val="00DF3BF6"/>
    <w:rsid w:val="00DF4397"/>
    <w:rsid w:val="00E023EE"/>
    <w:rsid w:val="00E24A4B"/>
    <w:rsid w:val="00E31B9E"/>
    <w:rsid w:val="00E41A9B"/>
    <w:rsid w:val="00E470DC"/>
    <w:rsid w:val="00E514EA"/>
    <w:rsid w:val="00E51B0A"/>
    <w:rsid w:val="00E564DA"/>
    <w:rsid w:val="00E60248"/>
    <w:rsid w:val="00E63CE9"/>
    <w:rsid w:val="00E66FF5"/>
    <w:rsid w:val="00E70742"/>
    <w:rsid w:val="00E803FE"/>
    <w:rsid w:val="00E8676A"/>
    <w:rsid w:val="00E87210"/>
    <w:rsid w:val="00E875C6"/>
    <w:rsid w:val="00E902E7"/>
    <w:rsid w:val="00E96578"/>
    <w:rsid w:val="00EA0449"/>
    <w:rsid w:val="00EA16E1"/>
    <w:rsid w:val="00EA2085"/>
    <w:rsid w:val="00EA3735"/>
    <w:rsid w:val="00EA5F40"/>
    <w:rsid w:val="00EA79C8"/>
    <w:rsid w:val="00EB0BB5"/>
    <w:rsid w:val="00EB13CA"/>
    <w:rsid w:val="00EB4411"/>
    <w:rsid w:val="00EC2575"/>
    <w:rsid w:val="00EC327C"/>
    <w:rsid w:val="00ED534D"/>
    <w:rsid w:val="00EE3C9B"/>
    <w:rsid w:val="00EE4234"/>
    <w:rsid w:val="00EF31C1"/>
    <w:rsid w:val="00F15AFF"/>
    <w:rsid w:val="00F353F7"/>
    <w:rsid w:val="00F50B7E"/>
    <w:rsid w:val="00F57D99"/>
    <w:rsid w:val="00F62D73"/>
    <w:rsid w:val="00F7027E"/>
    <w:rsid w:val="00F70563"/>
    <w:rsid w:val="00F76740"/>
    <w:rsid w:val="00F8681E"/>
    <w:rsid w:val="00F912C2"/>
    <w:rsid w:val="00F96C31"/>
    <w:rsid w:val="00FA0218"/>
    <w:rsid w:val="00FA4103"/>
    <w:rsid w:val="00FA6C53"/>
    <w:rsid w:val="00FC37E6"/>
    <w:rsid w:val="00FD00BF"/>
    <w:rsid w:val="00FD1E96"/>
    <w:rsid w:val="00FD73AC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60B6CEE1-B7AD-4BF8-9CC4-F88179DF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2B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11D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1D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1D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1D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1D3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1D3E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03F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03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803F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0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7582"/>
  </w:style>
  <w:style w:type="paragraph" w:styleId="Fuzeile">
    <w:name w:val="footer"/>
    <w:basedOn w:val="Standard"/>
    <w:link w:val="FuzeileZchn"/>
    <w:uiPriority w:val="99"/>
    <w:unhideWhenUsed/>
    <w:rsid w:val="0090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6899-4C3B-4C9A-B386-FD42E634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78053F3F.dotm</Template>
  <TotalTime>0</TotalTime>
  <Pages>4</Pages>
  <Words>1456</Words>
  <Characters>7003</Characters>
  <Application>Microsoft Office Word</Application>
  <DocSecurity>4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Pflüger</dc:creator>
  <cp:lastModifiedBy>Zürcher Andrea, JGK-AGR-GeM</cp:lastModifiedBy>
  <cp:revision>2</cp:revision>
  <cp:lastPrinted>2016-12-05T08:35:00Z</cp:lastPrinted>
  <dcterms:created xsi:type="dcterms:W3CDTF">2020-03-26T15:18:00Z</dcterms:created>
  <dcterms:modified xsi:type="dcterms:W3CDTF">2020-03-26T15:18:00Z</dcterms:modified>
</cp:coreProperties>
</file>