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26" w:rsidRDefault="00CD46ED" w:rsidP="006C24C5">
      <w:pPr>
        <w:tabs>
          <w:tab w:val="left" w:pos="3969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58EF">
        <w:rPr>
          <w:rFonts w:ascii="Arial" w:hAnsi="Arial" w:cs="Arial"/>
        </w:rPr>
        <w:t xml:space="preserve">Einwohnergemeinde </w:t>
      </w:r>
      <w:r w:rsidR="006C24C5">
        <w:rPr>
          <w:rFonts w:ascii="Arial" w:hAnsi="Arial" w:cs="Arial"/>
          <w:highlight w:val="yellow"/>
        </w:rPr>
        <w:t>■</w:t>
      </w:r>
      <w:r w:rsidR="006D58EF">
        <w:rPr>
          <w:rFonts w:ascii="Arial" w:hAnsi="Arial" w:cs="Arial"/>
        </w:rPr>
        <w:tab/>
      </w:r>
      <w:r w:rsidR="006D58EF">
        <w:rPr>
          <w:rFonts w:ascii="Arial" w:hAnsi="Arial" w:cs="Arial"/>
        </w:rPr>
        <w:tab/>
      </w:r>
      <w:r w:rsidR="006D58EF">
        <w:rPr>
          <w:rFonts w:ascii="Arial" w:hAnsi="Arial" w:cs="Arial"/>
        </w:rPr>
        <w:tab/>
      </w:r>
      <w:r w:rsidR="006D58EF">
        <w:rPr>
          <w:rFonts w:ascii="Arial" w:hAnsi="Arial" w:cs="Arial"/>
        </w:rPr>
        <w:tab/>
      </w:r>
      <w:r w:rsidR="006D58EF">
        <w:rPr>
          <w:rFonts w:ascii="Arial" w:hAnsi="Arial" w:cs="Arial"/>
        </w:rPr>
        <w:tab/>
      </w:r>
      <w:r w:rsidR="001A2BDE" w:rsidRPr="00CD46ED">
        <w:rPr>
          <w:rFonts w:ascii="Arial" w:hAnsi="Arial" w:cs="Arial"/>
          <w:i/>
          <w:highlight w:val="yellow"/>
        </w:rPr>
        <w:t xml:space="preserve">Ort und </w:t>
      </w:r>
      <w:r w:rsidR="006D58EF" w:rsidRPr="00CD46ED">
        <w:rPr>
          <w:rFonts w:ascii="Arial" w:hAnsi="Arial" w:cs="Arial"/>
          <w:i/>
          <w:highlight w:val="yellow"/>
        </w:rPr>
        <w:t>Datum</w:t>
      </w:r>
      <w:r w:rsidR="006D58EF">
        <w:rPr>
          <w:rFonts w:ascii="Arial" w:hAnsi="Arial" w:cs="Arial"/>
        </w:rPr>
        <w:br/>
      </w:r>
      <w:r w:rsidR="001A2BDE" w:rsidRPr="00CD46ED">
        <w:rPr>
          <w:rFonts w:ascii="Arial" w:hAnsi="Arial" w:cs="Arial"/>
          <w:i/>
          <w:highlight w:val="yellow"/>
        </w:rPr>
        <w:t>[</w:t>
      </w:r>
      <w:r w:rsidR="006D58EF" w:rsidRPr="00CD46ED">
        <w:rPr>
          <w:rFonts w:ascii="Arial" w:hAnsi="Arial" w:cs="Arial"/>
          <w:i/>
          <w:highlight w:val="yellow"/>
        </w:rPr>
        <w:t>zuständiges Organ</w:t>
      </w:r>
      <w:r w:rsidR="001A2BDE" w:rsidRPr="00CD46ED">
        <w:rPr>
          <w:rFonts w:ascii="Arial" w:hAnsi="Arial" w:cs="Arial"/>
          <w:i/>
          <w:highlight w:val="yellow"/>
        </w:rPr>
        <w:t>]</w:t>
      </w:r>
    </w:p>
    <w:p w:rsidR="006D58EF" w:rsidRDefault="006D58EF">
      <w:pPr>
        <w:rPr>
          <w:rFonts w:ascii="Arial" w:hAnsi="Arial" w:cs="Arial"/>
        </w:rPr>
      </w:pPr>
    </w:p>
    <w:p w:rsidR="006D58EF" w:rsidRDefault="00C460E3" w:rsidP="001A2B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MUSTER </w:t>
      </w:r>
      <w:r w:rsidR="009114F6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A2BDE" w:rsidRPr="001A2BDE">
        <w:rPr>
          <w:rFonts w:ascii="Arial" w:hAnsi="Arial" w:cs="Arial"/>
          <w:b/>
          <w:sz w:val="28"/>
          <w:szCs w:val="28"/>
        </w:rPr>
        <w:t>V E R F Ü G U N G</w:t>
      </w:r>
    </w:p>
    <w:p w:rsidR="001A2BDE" w:rsidRDefault="001A2BDE">
      <w:pPr>
        <w:rPr>
          <w:rFonts w:ascii="Arial" w:hAnsi="Arial" w:cs="Arial"/>
        </w:rPr>
      </w:pPr>
      <w:r>
        <w:rPr>
          <w:rFonts w:ascii="Arial" w:hAnsi="Arial" w:cs="Arial"/>
        </w:rPr>
        <w:t>gegenüber</w:t>
      </w:r>
      <w:r w:rsidR="006C24C5">
        <w:rPr>
          <w:rFonts w:ascii="Arial" w:hAnsi="Arial" w:cs="Arial"/>
        </w:rPr>
        <w:t xml:space="preserve"> </w:t>
      </w:r>
      <w:r w:rsidR="006C24C5" w:rsidRPr="00CD46ED">
        <w:rPr>
          <w:rFonts w:ascii="Arial" w:hAnsi="Arial" w:cs="Arial"/>
          <w:highlight w:val="yellow"/>
        </w:rPr>
        <w:t>■</w:t>
      </w:r>
      <w:r w:rsidR="006C24C5">
        <w:rPr>
          <w:rFonts w:ascii="Arial" w:hAnsi="Arial" w:cs="Arial"/>
        </w:rPr>
        <w:t xml:space="preserve"> </w:t>
      </w:r>
      <w:bookmarkStart w:id="0" w:name="_GoBack"/>
      <w:bookmarkEnd w:id="0"/>
    </w:p>
    <w:p w:rsidR="001A2BDE" w:rsidRPr="00CD46ED" w:rsidRDefault="001A2BDE">
      <w:pPr>
        <w:rPr>
          <w:rFonts w:ascii="Arial" w:hAnsi="Arial" w:cs="Arial"/>
          <w:i/>
        </w:rPr>
      </w:pPr>
      <w:r w:rsidRPr="00CD46ED">
        <w:rPr>
          <w:rFonts w:ascii="Arial" w:hAnsi="Arial" w:cs="Arial"/>
          <w:i/>
          <w:highlight w:val="yellow"/>
        </w:rPr>
        <w:t>[Name und Adresse der Grundeigentümerin]</w:t>
      </w:r>
    </w:p>
    <w:p w:rsidR="001A2BDE" w:rsidRPr="001A2BDE" w:rsidRDefault="005F41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Sachverhalt</w:t>
      </w:r>
      <w:r w:rsidR="001A2BDE">
        <w:rPr>
          <w:rFonts w:ascii="Arial" w:hAnsi="Arial" w:cs="Arial"/>
          <w:b/>
        </w:rPr>
        <w:t>:</w:t>
      </w:r>
      <w:r w:rsidRPr="005F41A4">
        <w:rPr>
          <w:rFonts w:ascii="Arial" w:hAnsi="Arial" w:cs="Arial"/>
          <w:highlight w:val="yellow"/>
        </w:rPr>
        <w:t xml:space="preserve"> </w:t>
      </w:r>
    </w:p>
    <w:p w:rsidR="001A2BDE" w:rsidRPr="00CD46ED" w:rsidRDefault="001A2BDE" w:rsidP="001A2BDE">
      <w:pPr>
        <w:pStyle w:val="Listenabsatz"/>
        <w:numPr>
          <w:ilvl w:val="0"/>
          <w:numId w:val="1"/>
        </w:numPr>
        <w:spacing w:after="240"/>
        <w:ind w:hanging="720"/>
        <w:contextualSpacing w:val="0"/>
        <w:rPr>
          <w:rFonts w:ascii="Arial" w:hAnsi="Arial" w:cs="Arial"/>
          <w:i/>
        </w:rPr>
      </w:pPr>
      <w:r w:rsidRPr="00CD46ED">
        <w:rPr>
          <w:rFonts w:ascii="Arial" w:hAnsi="Arial" w:cs="Arial"/>
          <w:i/>
          <w:highlight w:val="yellow"/>
        </w:rPr>
        <w:t xml:space="preserve">[Kurze Darlegung </w:t>
      </w:r>
      <w:r w:rsidR="005F41A4" w:rsidRPr="00CD46ED">
        <w:rPr>
          <w:rFonts w:ascii="Arial" w:hAnsi="Arial" w:cs="Arial"/>
          <w:i/>
          <w:highlight w:val="yellow"/>
        </w:rPr>
        <w:t>der Ausgangslage und</w:t>
      </w:r>
      <w:r w:rsidRPr="00CD46ED">
        <w:rPr>
          <w:rFonts w:ascii="Arial" w:hAnsi="Arial" w:cs="Arial"/>
          <w:i/>
          <w:highlight w:val="yellow"/>
        </w:rPr>
        <w:t xml:space="preserve"> der Planung</w:t>
      </w:r>
      <w:r w:rsidR="005F41A4" w:rsidRPr="00CD46ED">
        <w:rPr>
          <w:rFonts w:ascii="Arial" w:hAnsi="Arial" w:cs="Arial"/>
          <w:i/>
          <w:highlight w:val="yellow"/>
        </w:rPr>
        <w:t xml:space="preserve">, </w:t>
      </w:r>
      <w:r w:rsidR="004A3B5F" w:rsidRPr="00CD46ED">
        <w:rPr>
          <w:rFonts w:ascii="Arial" w:hAnsi="Arial" w:cs="Arial"/>
          <w:i/>
          <w:highlight w:val="yellow"/>
        </w:rPr>
        <w:t xml:space="preserve">welche einen planungsbedingten Mehrwert und </w:t>
      </w:r>
      <w:r w:rsidR="005F41A4" w:rsidRPr="00CD46ED">
        <w:rPr>
          <w:rFonts w:ascii="Arial" w:hAnsi="Arial" w:cs="Arial"/>
          <w:i/>
          <w:highlight w:val="yellow"/>
        </w:rPr>
        <w:t xml:space="preserve">die </w:t>
      </w:r>
      <w:r w:rsidR="004A3B5F" w:rsidRPr="00CD46ED">
        <w:rPr>
          <w:rFonts w:ascii="Arial" w:hAnsi="Arial" w:cs="Arial"/>
          <w:i/>
          <w:highlight w:val="yellow"/>
        </w:rPr>
        <w:t xml:space="preserve">gestützt darauf erhobene </w:t>
      </w:r>
      <w:r w:rsidR="005F41A4" w:rsidRPr="00CD46ED">
        <w:rPr>
          <w:rFonts w:ascii="Arial" w:hAnsi="Arial" w:cs="Arial"/>
          <w:i/>
          <w:highlight w:val="yellow"/>
        </w:rPr>
        <w:t>Mehrwertabgabe auslöst]</w:t>
      </w:r>
    </w:p>
    <w:p w:rsidR="009C0EF0" w:rsidRPr="00CD46ED" w:rsidRDefault="009C0EF0" w:rsidP="001A2BDE">
      <w:pPr>
        <w:pStyle w:val="Listenabsatz"/>
        <w:numPr>
          <w:ilvl w:val="0"/>
          <w:numId w:val="1"/>
        </w:numPr>
        <w:spacing w:after="240"/>
        <w:ind w:hanging="720"/>
        <w:contextualSpacing w:val="0"/>
        <w:rPr>
          <w:rFonts w:ascii="Arial" w:hAnsi="Arial" w:cs="Arial"/>
          <w:i/>
        </w:rPr>
      </w:pPr>
      <w:r w:rsidRPr="00CD46ED">
        <w:rPr>
          <w:rFonts w:ascii="Arial" w:hAnsi="Arial" w:cs="Arial"/>
          <w:i/>
          <w:highlight w:val="yellow"/>
        </w:rPr>
        <w:t xml:space="preserve">[Kurze Darlegung der </w:t>
      </w:r>
      <w:r w:rsidR="004A3B5F" w:rsidRPr="00CD46ED">
        <w:rPr>
          <w:rFonts w:ascii="Arial" w:hAnsi="Arial" w:cs="Arial"/>
          <w:i/>
          <w:highlight w:val="yellow"/>
        </w:rPr>
        <w:t xml:space="preserve">durchgeführten </w:t>
      </w:r>
      <w:r w:rsidRPr="00CD46ED">
        <w:rPr>
          <w:rFonts w:ascii="Arial" w:hAnsi="Arial" w:cs="Arial"/>
          <w:i/>
          <w:highlight w:val="yellow"/>
        </w:rPr>
        <w:t xml:space="preserve">Abklärungen (z.B. Schätzung, Expertisen) für die Ermittlung des </w:t>
      </w:r>
      <w:r w:rsidR="004A3B5F" w:rsidRPr="00CD46ED">
        <w:rPr>
          <w:rFonts w:ascii="Arial" w:hAnsi="Arial" w:cs="Arial"/>
          <w:i/>
          <w:highlight w:val="yellow"/>
        </w:rPr>
        <w:t xml:space="preserve">planungsbedingten </w:t>
      </w:r>
      <w:r w:rsidRPr="00CD46ED">
        <w:rPr>
          <w:rFonts w:ascii="Arial" w:hAnsi="Arial" w:cs="Arial"/>
          <w:i/>
          <w:highlight w:val="yellow"/>
        </w:rPr>
        <w:t>Mehrwerts]</w:t>
      </w:r>
    </w:p>
    <w:p w:rsidR="005F41A4" w:rsidRPr="00C460E3" w:rsidRDefault="005F41A4" w:rsidP="00C460E3">
      <w:pPr>
        <w:pStyle w:val="Listenabsatz"/>
        <w:numPr>
          <w:ilvl w:val="0"/>
          <w:numId w:val="1"/>
        </w:numPr>
        <w:spacing w:after="240"/>
        <w:ind w:hanging="720"/>
        <w:rPr>
          <w:rFonts w:ascii="Arial" w:hAnsi="Arial" w:cs="Arial"/>
        </w:rPr>
      </w:pPr>
      <w:r w:rsidRPr="00C460E3">
        <w:rPr>
          <w:rFonts w:ascii="Arial" w:hAnsi="Arial" w:cs="Arial"/>
        </w:rPr>
        <w:t xml:space="preserve">Mit Schreiben vom </w:t>
      </w:r>
      <w:r w:rsidR="006C24C5">
        <w:rPr>
          <w:rFonts w:ascii="Arial" w:hAnsi="Arial" w:cs="Arial"/>
          <w:highlight w:val="yellow"/>
        </w:rPr>
        <w:t>■</w:t>
      </w:r>
      <w:r w:rsidRPr="00C460E3">
        <w:rPr>
          <w:rFonts w:ascii="Arial" w:hAnsi="Arial" w:cs="Arial"/>
        </w:rPr>
        <w:t xml:space="preserve"> hat die Gemeinde </w:t>
      </w:r>
      <w:r w:rsidR="004A3B5F" w:rsidRPr="00C460E3">
        <w:rPr>
          <w:rFonts w:ascii="Arial" w:hAnsi="Arial" w:cs="Arial"/>
        </w:rPr>
        <w:t xml:space="preserve">die </w:t>
      </w:r>
      <w:r w:rsidR="00E803FE" w:rsidRPr="00C460E3">
        <w:rPr>
          <w:rFonts w:ascii="Arial" w:hAnsi="Arial" w:cs="Arial"/>
        </w:rPr>
        <w:t>Grundeigentümer</w:t>
      </w:r>
      <w:r w:rsidR="004A3B5F" w:rsidRPr="00C460E3">
        <w:rPr>
          <w:rFonts w:ascii="Arial" w:hAnsi="Arial" w:cs="Arial"/>
        </w:rPr>
        <w:t>schaft</w:t>
      </w:r>
      <w:r w:rsidR="00E803FE" w:rsidRPr="00C460E3">
        <w:rPr>
          <w:rFonts w:ascii="Arial" w:hAnsi="Arial" w:cs="Arial"/>
        </w:rPr>
        <w:t xml:space="preserve"> </w:t>
      </w:r>
      <w:r w:rsidRPr="00C460E3">
        <w:rPr>
          <w:rFonts w:ascii="Arial" w:hAnsi="Arial" w:cs="Arial"/>
        </w:rPr>
        <w:t xml:space="preserve">über </w:t>
      </w:r>
      <w:r w:rsidR="004A3B5F" w:rsidRPr="00C460E3">
        <w:rPr>
          <w:rFonts w:ascii="Arial" w:hAnsi="Arial" w:cs="Arial"/>
        </w:rPr>
        <w:t xml:space="preserve">die zu erwartende Mehrwertabgabe informiert </w:t>
      </w:r>
      <w:r w:rsidR="00CD46ED">
        <w:rPr>
          <w:rFonts w:ascii="Arial" w:hAnsi="Arial" w:cs="Arial"/>
        </w:rPr>
        <w:t>(Art. 142d Abs. 2 BauG)</w:t>
      </w:r>
      <w:r w:rsidR="004A3B5F">
        <w:rPr>
          <w:rFonts w:ascii="Arial" w:hAnsi="Arial" w:cs="Arial"/>
        </w:rPr>
        <w:t xml:space="preserve"> </w:t>
      </w:r>
      <w:r w:rsidRPr="00C460E3">
        <w:rPr>
          <w:rFonts w:ascii="Arial" w:hAnsi="Arial" w:cs="Arial"/>
        </w:rPr>
        <w:t xml:space="preserve">und ihr </w:t>
      </w:r>
      <w:r w:rsidR="004A3B5F">
        <w:rPr>
          <w:rFonts w:ascii="Arial" w:hAnsi="Arial" w:cs="Arial"/>
        </w:rPr>
        <w:t xml:space="preserve">Gelegenheit gegeben, </w:t>
      </w:r>
      <w:r w:rsidRPr="00C460E3">
        <w:rPr>
          <w:rFonts w:ascii="Arial" w:hAnsi="Arial" w:cs="Arial"/>
        </w:rPr>
        <w:t xml:space="preserve">sich </w:t>
      </w:r>
      <w:r w:rsidR="004A3B5F">
        <w:rPr>
          <w:rFonts w:ascii="Arial" w:hAnsi="Arial" w:cs="Arial"/>
        </w:rPr>
        <w:t xml:space="preserve">bis am </w:t>
      </w:r>
      <w:r w:rsidR="006C24C5" w:rsidRPr="00CD46ED">
        <w:rPr>
          <w:rFonts w:ascii="Arial" w:hAnsi="Arial" w:cs="Arial"/>
          <w:highlight w:val="yellow"/>
        </w:rPr>
        <w:t>■</w:t>
      </w:r>
      <w:r w:rsidR="006C24C5">
        <w:rPr>
          <w:rFonts w:ascii="Arial" w:hAnsi="Arial" w:cs="Arial"/>
        </w:rPr>
        <w:t xml:space="preserve"> </w:t>
      </w:r>
      <w:r w:rsidR="004A3B5F">
        <w:rPr>
          <w:rFonts w:ascii="Arial" w:hAnsi="Arial" w:cs="Arial"/>
        </w:rPr>
        <w:t xml:space="preserve"> </w:t>
      </w:r>
      <w:r w:rsidRPr="00C460E3">
        <w:rPr>
          <w:rFonts w:ascii="Arial" w:hAnsi="Arial" w:cs="Arial"/>
        </w:rPr>
        <w:t xml:space="preserve">dazu zu äussern. </w:t>
      </w:r>
      <w:r w:rsidR="00E803FE" w:rsidRPr="00C460E3">
        <w:rPr>
          <w:rFonts w:ascii="Arial" w:hAnsi="Arial" w:cs="Arial"/>
        </w:rPr>
        <w:t xml:space="preserve">Von dieser Möglichkeit wurde </w:t>
      </w:r>
      <w:r w:rsidRPr="00C460E3">
        <w:rPr>
          <w:rFonts w:ascii="Arial" w:hAnsi="Arial" w:cs="Arial"/>
        </w:rPr>
        <w:t xml:space="preserve">mit Stellungnahme vom </w:t>
      </w:r>
      <w:r w:rsidR="006C24C5">
        <w:rPr>
          <w:rFonts w:ascii="Arial" w:hAnsi="Arial" w:cs="Arial"/>
          <w:highlight w:val="yellow"/>
        </w:rPr>
        <w:t>■</w:t>
      </w:r>
      <w:r w:rsidRPr="00C460E3">
        <w:rPr>
          <w:rFonts w:ascii="Arial" w:hAnsi="Arial" w:cs="Arial"/>
        </w:rPr>
        <w:t xml:space="preserve"> </w:t>
      </w:r>
      <w:r w:rsidR="005D3F96" w:rsidRPr="00C460E3">
        <w:rPr>
          <w:rFonts w:ascii="Arial" w:hAnsi="Arial" w:cs="Arial"/>
        </w:rPr>
        <w:t>Gebrauch gemacht.</w:t>
      </w:r>
      <w:r w:rsidR="004A3B5F">
        <w:rPr>
          <w:rFonts w:ascii="Arial" w:hAnsi="Arial" w:cs="Arial"/>
        </w:rPr>
        <w:t xml:space="preserve"> </w:t>
      </w:r>
    </w:p>
    <w:p w:rsidR="005F41A4" w:rsidRDefault="005F41A4" w:rsidP="005F41A4">
      <w:pPr>
        <w:pStyle w:val="Listenabsatz"/>
        <w:numPr>
          <w:ilvl w:val="0"/>
          <w:numId w:val="1"/>
        </w:numPr>
        <w:spacing w:after="240"/>
        <w:ind w:hanging="720"/>
        <w:contextualSpacing w:val="0"/>
        <w:rPr>
          <w:rFonts w:ascii="Arial" w:hAnsi="Arial" w:cs="Arial"/>
        </w:rPr>
      </w:pPr>
      <w:r w:rsidRPr="005F41A4">
        <w:rPr>
          <w:rFonts w:ascii="Arial" w:hAnsi="Arial" w:cs="Arial"/>
        </w:rPr>
        <w:t xml:space="preserve">Am </w:t>
      </w:r>
      <w:r w:rsidR="006C24C5">
        <w:rPr>
          <w:rFonts w:ascii="Arial" w:hAnsi="Arial" w:cs="Arial"/>
          <w:highlight w:val="yellow"/>
        </w:rPr>
        <w:t>■</w:t>
      </w:r>
      <w:r w:rsidRPr="005F41A4">
        <w:rPr>
          <w:rFonts w:ascii="Arial" w:hAnsi="Arial" w:cs="Arial"/>
        </w:rPr>
        <w:t xml:space="preserve"> hat das Amt für Gemeinden und Raumordnung (AGR)</w:t>
      </w:r>
      <w:r>
        <w:rPr>
          <w:rFonts w:ascii="Arial" w:hAnsi="Arial" w:cs="Arial"/>
        </w:rPr>
        <w:t xml:space="preserve"> die Planung </w:t>
      </w:r>
      <w:r w:rsidR="004A3B5F">
        <w:rPr>
          <w:rFonts w:ascii="Arial" w:hAnsi="Arial" w:cs="Arial"/>
        </w:rPr>
        <w:t xml:space="preserve">■ </w:t>
      </w:r>
      <w:r>
        <w:rPr>
          <w:rFonts w:ascii="Arial" w:hAnsi="Arial" w:cs="Arial"/>
        </w:rPr>
        <w:t xml:space="preserve">genehmigt. </w:t>
      </w:r>
      <w:r w:rsidR="00E803FE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ist </w:t>
      </w:r>
      <w:r w:rsidR="00E803FE">
        <w:rPr>
          <w:rFonts w:ascii="Arial" w:hAnsi="Arial" w:cs="Arial"/>
        </w:rPr>
        <w:t xml:space="preserve">am </w:t>
      </w:r>
      <w:r w:rsidR="006C24C5">
        <w:rPr>
          <w:rFonts w:ascii="Arial" w:hAnsi="Arial" w:cs="Arial"/>
        </w:rPr>
        <w:t>■</w:t>
      </w:r>
      <w:r w:rsidR="00E803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Rechtskraft erwachsen.</w:t>
      </w:r>
    </w:p>
    <w:p w:rsidR="005F41A4" w:rsidRPr="005F41A4" w:rsidRDefault="005F41A4" w:rsidP="005F41A4">
      <w:pPr>
        <w:spacing w:after="240"/>
        <w:rPr>
          <w:rFonts w:ascii="Arial" w:hAnsi="Arial" w:cs="Arial"/>
          <w:b/>
        </w:rPr>
      </w:pPr>
      <w:r w:rsidRPr="005F41A4">
        <w:rPr>
          <w:rFonts w:ascii="Arial" w:hAnsi="Arial" w:cs="Arial"/>
          <w:b/>
        </w:rPr>
        <w:t>Erwägungen:</w:t>
      </w:r>
    </w:p>
    <w:p w:rsidR="009C0EF0" w:rsidRPr="005F41A4" w:rsidRDefault="001A2BDE" w:rsidP="005F41A4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 w:rsidRPr="005F41A4">
        <w:rPr>
          <w:rFonts w:ascii="Arial" w:hAnsi="Arial" w:cs="Arial"/>
        </w:rPr>
        <w:t xml:space="preserve">Gemäss Art. 142 Abs. 1 und Art. 142a Abs. 1 </w:t>
      </w:r>
      <w:r w:rsidR="00E803FE">
        <w:rPr>
          <w:rFonts w:ascii="Arial" w:hAnsi="Arial" w:cs="Arial"/>
        </w:rPr>
        <w:t xml:space="preserve">des </w:t>
      </w:r>
      <w:r w:rsidRPr="005F41A4">
        <w:rPr>
          <w:rFonts w:ascii="Arial" w:hAnsi="Arial" w:cs="Arial"/>
        </w:rPr>
        <w:t xml:space="preserve">Baugesetzes vom 9. Juni 1985 (BauG; BSG 721.0) und </w:t>
      </w:r>
      <w:r w:rsidRPr="00CE76C6">
        <w:rPr>
          <w:rFonts w:ascii="Arial" w:hAnsi="Arial" w:cs="Arial"/>
          <w:highlight w:val="magenta"/>
        </w:rPr>
        <w:t>Art. </w:t>
      </w:r>
      <w:r w:rsidR="00CE76C6" w:rsidRPr="00CE76C6">
        <w:rPr>
          <w:rFonts w:ascii="Arial" w:hAnsi="Arial" w:cs="Arial"/>
          <w:highlight w:val="magenta"/>
        </w:rPr>
        <w:t>1 Abs. 1</w:t>
      </w:r>
      <w:r w:rsidRPr="00CE76C6">
        <w:rPr>
          <w:rFonts w:ascii="Arial" w:hAnsi="Arial" w:cs="Arial"/>
          <w:highlight w:val="magenta"/>
        </w:rPr>
        <w:t xml:space="preserve"> </w:t>
      </w:r>
      <w:r w:rsidR="00CE76C6" w:rsidRPr="00CE76C6">
        <w:rPr>
          <w:rFonts w:ascii="Arial" w:hAnsi="Arial" w:cs="Arial"/>
          <w:highlight w:val="magenta"/>
        </w:rPr>
        <w:t>Bst. a</w:t>
      </w:r>
      <w:r w:rsidR="00CE76C6">
        <w:rPr>
          <w:rFonts w:ascii="Arial" w:hAnsi="Arial" w:cs="Arial"/>
        </w:rPr>
        <w:t xml:space="preserve"> </w:t>
      </w:r>
      <w:r w:rsidRPr="005F41A4">
        <w:rPr>
          <w:rFonts w:ascii="Arial" w:hAnsi="Arial" w:cs="Arial"/>
        </w:rPr>
        <w:t>des Reglements</w:t>
      </w:r>
      <w:r w:rsidR="002A02CB">
        <w:rPr>
          <w:rFonts w:ascii="Arial" w:hAnsi="Arial" w:cs="Arial"/>
        </w:rPr>
        <w:t xml:space="preserve"> über die Mehrwert</w:t>
      </w:r>
      <w:r w:rsidR="003A305B">
        <w:rPr>
          <w:rFonts w:ascii="Arial" w:hAnsi="Arial" w:cs="Arial"/>
        </w:rPr>
        <w:softHyphen/>
      </w:r>
      <w:r w:rsidR="002A02CB">
        <w:rPr>
          <w:rFonts w:ascii="Arial" w:hAnsi="Arial" w:cs="Arial"/>
        </w:rPr>
        <w:t>abgabe</w:t>
      </w:r>
      <w:r w:rsidRPr="005F41A4">
        <w:rPr>
          <w:rFonts w:ascii="Arial" w:hAnsi="Arial" w:cs="Arial"/>
        </w:rPr>
        <w:t xml:space="preserve"> vom </w:t>
      </w:r>
      <w:r w:rsidR="006C24C5">
        <w:rPr>
          <w:rFonts w:ascii="Arial" w:hAnsi="Arial" w:cs="Arial"/>
          <w:highlight w:val="yellow"/>
        </w:rPr>
        <w:t>■</w:t>
      </w:r>
      <w:r w:rsidR="00436E91" w:rsidRPr="005F41A4">
        <w:rPr>
          <w:rFonts w:ascii="Arial" w:hAnsi="Arial" w:cs="Arial"/>
        </w:rPr>
        <w:t xml:space="preserve"> (nachfolgend: </w:t>
      </w:r>
      <w:r w:rsidR="00E803FE">
        <w:rPr>
          <w:rFonts w:ascii="Arial" w:hAnsi="Arial" w:cs="Arial"/>
        </w:rPr>
        <w:t>MWAR</w:t>
      </w:r>
      <w:r w:rsidR="00436E91" w:rsidRPr="005F41A4">
        <w:rPr>
          <w:rFonts w:ascii="Arial" w:hAnsi="Arial" w:cs="Arial"/>
        </w:rPr>
        <w:t>)</w:t>
      </w:r>
      <w:r w:rsidRPr="005F41A4">
        <w:rPr>
          <w:rFonts w:ascii="Arial" w:hAnsi="Arial" w:cs="Arial"/>
        </w:rPr>
        <w:t xml:space="preserve"> haben Grundeigen</w:t>
      </w:r>
      <w:r w:rsidR="00436E91" w:rsidRPr="005F41A4">
        <w:rPr>
          <w:rFonts w:ascii="Arial" w:hAnsi="Arial" w:cs="Arial"/>
        </w:rPr>
        <w:t>tümerinnen und Grundeigentümer</w:t>
      </w:r>
      <w:r w:rsidR="004A3B5F">
        <w:rPr>
          <w:rFonts w:ascii="Arial" w:hAnsi="Arial" w:cs="Arial"/>
        </w:rPr>
        <w:t xml:space="preserve">, die </w:t>
      </w:r>
      <w:r w:rsidR="009114F6">
        <w:rPr>
          <w:rFonts w:ascii="Arial" w:hAnsi="Arial" w:cs="Arial"/>
        </w:rPr>
        <w:t xml:space="preserve">als Folge einer Einzonung in den Genuss eines Mehrwertes kommen, </w:t>
      </w:r>
      <w:r w:rsidR="00436E91" w:rsidRPr="005F41A4">
        <w:rPr>
          <w:rFonts w:ascii="Arial" w:hAnsi="Arial" w:cs="Arial"/>
        </w:rPr>
        <w:t xml:space="preserve">eine Mehrwertabgabe zu entrichten. </w:t>
      </w:r>
    </w:p>
    <w:p w:rsidR="005F41A4" w:rsidRDefault="00436E91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9114F6">
        <w:rPr>
          <w:rFonts w:ascii="Arial" w:hAnsi="Arial" w:cs="Arial"/>
        </w:rPr>
        <w:t xml:space="preserve">planungsbedingte </w:t>
      </w:r>
      <w:r>
        <w:rPr>
          <w:rFonts w:ascii="Arial" w:hAnsi="Arial" w:cs="Arial"/>
        </w:rPr>
        <w:t>Mehrwert entspricht der Differenz zwischen dem Verkehrswert des Landes mit und ohne Planänderung</w:t>
      </w:r>
      <w:r w:rsidR="009114F6">
        <w:rPr>
          <w:rFonts w:ascii="Arial" w:hAnsi="Arial" w:cs="Arial"/>
        </w:rPr>
        <w:t xml:space="preserve">. Er </w:t>
      </w:r>
      <w:r>
        <w:rPr>
          <w:rFonts w:ascii="Arial" w:hAnsi="Arial" w:cs="Arial"/>
        </w:rPr>
        <w:t xml:space="preserve">ist mit anerkannten Methoden zu bestimmen (Art. 142b Abs. 1 BauG). </w:t>
      </w:r>
      <w:r w:rsidR="005F41A4" w:rsidRPr="005F41A4">
        <w:rPr>
          <w:rFonts w:ascii="Arial" w:hAnsi="Arial" w:cs="Arial"/>
        </w:rPr>
        <w:t xml:space="preserve">Beträgt der Mehrwert weniger als 20 000 Franken, wird keine Abgabe erhoben (Art. 142a Abs. 4 BauG und </w:t>
      </w:r>
      <w:r w:rsidR="005F41A4" w:rsidRPr="00CE76C6">
        <w:rPr>
          <w:rFonts w:ascii="Arial" w:hAnsi="Arial" w:cs="Arial"/>
          <w:highlight w:val="magenta"/>
        </w:rPr>
        <w:t>Art. </w:t>
      </w:r>
      <w:r w:rsidR="00CE76C6" w:rsidRPr="00CE76C6">
        <w:rPr>
          <w:rFonts w:ascii="Arial" w:hAnsi="Arial" w:cs="Arial"/>
          <w:highlight w:val="magenta"/>
        </w:rPr>
        <w:t>1 Abs. 2</w:t>
      </w:r>
      <w:r w:rsidR="005F41A4" w:rsidRPr="005F41A4">
        <w:rPr>
          <w:rFonts w:ascii="Arial" w:hAnsi="Arial" w:cs="Arial"/>
        </w:rPr>
        <w:t xml:space="preserve"> </w:t>
      </w:r>
      <w:r w:rsidR="00E803FE">
        <w:rPr>
          <w:rFonts w:ascii="Arial" w:hAnsi="Arial" w:cs="Arial"/>
        </w:rPr>
        <w:t>MWAR</w:t>
      </w:r>
      <w:r w:rsidR="005F41A4" w:rsidRPr="005F41A4">
        <w:rPr>
          <w:rFonts w:ascii="Arial" w:hAnsi="Arial" w:cs="Arial"/>
        </w:rPr>
        <w:t>).</w:t>
      </w:r>
    </w:p>
    <w:p w:rsidR="001A2BDE" w:rsidRDefault="00436E91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Der Abgabesatz beträgt </w:t>
      </w:r>
      <w:r w:rsidR="009C0EF0" w:rsidRPr="0086058E">
        <w:rPr>
          <w:rFonts w:ascii="Arial" w:hAnsi="Arial" w:cs="Arial"/>
        </w:rPr>
        <w:t xml:space="preserve">bei Fälligkeit während der ersten fünf Jahre ab Rechtskraft der Einzonung </w:t>
      </w:r>
      <w:r w:rsidR="006C24C5">
        <w:rPr>
          <w:rFonts w:ascii="Arial" w:hAnsi="Arial" w:cs="Arial"/>
          <w:highlight w:val="yellow"/>
        </w:rPr>
        <w:t>■</w:t>
      </w:r>
      <w:r w:rsidR="009C0EF0" w:rsidRPr="0086058E">
        <w:rPr>
          <w:rFonts w:ascii="Arial" w:hAnsi="Arial" w:cs="Arial"/>
        </w:rPr>
        <w:t xml:space="preserve"> % des Mehrwerts, ab dem sechsten bis zehn Jahre ab Rechts</w:t>
      </w:r>
      <w:r w:rsidR="003A305B">
        <w:rPr>
          <w:rFonts w:ascii="Arial" w:hAnsi="Arial" w:cs="Arial"/>
        </w:rPr>
        <w:softHyphen/>
      </w:r>
      <w:r w:rsidR="009C0EF0" w:rsidRPr="0086058E">
        <w:rPr>
          <w:rFonts w:ascii="Arial" w:hAnsi="Arial" w:cs="Arial"/>
        </w:rPr>
        <w:t xml:space="preserve">kraft der Einzonung </w:t>
      </w:r>
      <w:r w:rsidR="006C24C5">
        <w:rPr>
          <w:rFonts w:ascii="Arial" w:hAnsi="Arial" w:cs="Arial"/>
          <w:highlight w:val="yellow"/>
        </w:rPr>
        <w:t>■</w:t>
      </w:r>
      <w:r w:rsidR="009C0EF0" w:rsidRPr="0086058E">
        <w:rPr>
          <w:rFonts w:ascii="Arial" w:hAnsi="Arial" w:cs="Arial"/>
          <w:highlight w:val="yellow"/>
        </w:rPr>
        <w:t>+5</w:t>
      </w:r>
      <w:r w:rsidR="009C0EF0" w:rsidRPr="0086058E">
        <w:rPr>
          <w:rFonts w:ascii="Arial" w:hAnsi="Arial" w:cs="Arial"/>
        </w:rPr>
        <w:t xml:space="preserve"> % des Mehrwerts und ab dem elften Jahr </w:t>
      </w:r>
      <w:r w:rsidR="006C24C5">
        <w:rPr>
          <w:rFonts w:ascii="Arial" w:hAnsi="Arial" w:cs="Arial"/>
          <w:highlight w:val="yellow"/>
        </w:rPr>
        <w:t>■</w:t>
      </w:r>
      <w:r w:rsidR="009C0EF0" w:rsidRPr="0086058E">
        <w:rPr>
          <w:rFonts w:ascii="Arial" w:hAnsi="Arial" w:cs="Arial"/>
          <w:highlight w:val="yellow"/>
        </w:rPr>
        <w:t>+10</w:t>
      </w:r>
      <w:r w:rsidR="009C0EF0">
        <w:rPr>
          <w:rFonts w:ascii="Arial" w:hAnsi="Arial" w:cs="Arial"/>
        </w:rPr>
        <w:t xml:space="preserve"> % des Mehrwerts (</w:t>
      </w:r>
      <w:r w:rsidR="009C0EF0" w:rsidRPr="00CE76C6">
        <w:rPr>
          <w:rFonts w:ascii="Arial" w:hAnsi="Arial" w:cs="Arial"/>
          <w:highlight w:val="magenta"/>
        </w:rPr>
        <w:t>Art. </w:t>
      </w:r>
      <w:r w:rsidR="00CE76C6" w:rsidRPr="00CE76C6">
        <w:rPr>
          <w:rFonts w:ascii="Arial" w:hAnsi="Arial" w:cs="Arial"/>
          <w:highlight w:val="magenta"/>
        </w:rPr>
        <w:t>2 Abs. 1 Bst. a</w:t>
      </w:r>
      <w:r w:rsidR="009C0EF0">
        <w:rPr>
          <w:rFonts w:ascii="Arial" w:hAnsi="Arial" w:cs="Arial"/>
        </w:rPr>
        <w:t xml:space="preserve"> </w:t>
      </w:r>
      <w:r w:rsidR="00E803FE">
        <w:rPr>
          <w:rFonts w:ascii="Arial" w:hAnsi="Arial" w:cs="Arial"/>
        </w:rPr>
        <w:t>MWAR</w:t>
      </w:r>
      <w:r w:rsidR="009C0EF0">
        <w:rPr>
          <w:rFonts w:ascii="Arial" w:hAnsi="Arial" w:cs="Arial"/>
        </w:rPr>
        <w:t>).</w:t>
      </w:r>
    </w:p>
    <w:p w:rsidR="009C0EF0" w:rsidRDefault="009C0EF0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Die Mehrwertabgabe wird vom </w:t>
      </w:r>
      <w:r w:rsidRPr="00CD46ED">
        <w:rPr>
          <w:rFonts w:ascii="Arial" w:hAnsi="Arial" w:cs="Arial"/>
          <w:i/>
        </w:rPr>
        <w:t>[</w:t>
      </w:r>
      <w:r w:rsidRPr="00CD46ED">
        <w:rPr>
          <w:rFonts w:ascii="Arial" w:hAnsi="Arial" w:cs="Arial"/>
          <w:i/>
          <w:highlight w:val="yellow"/>
        </w:rPr>
        <w:t>zuständiges Organ</w:t>
      </w:r>
      <w:r w:rsidRPr="00CD46ED">
        <w:rPr>
          <w:rFonts w:ascii="Arial" w:hAnsi="Arial" w:cs="Arial"/>
          <w:i/>
        </w:rPr>
        <w:t>]</w:t>
      </w:r>
      <w:r>
        <w:rPr>
          <w:rFonts w:ascii="Arial" w:hAnsi="Arial" w:cs="Arial"/>
        </w:rPr>
        <w:t xml:space="preserve"> verfügt (Art. 142d Abs. 1 BauG und </w:t>
      </w:r>
      <w:r w:rsidRPr="005D3F96">
        <w:rPr>
          <w:rFonts w:ascii="Arial" w:hAnsi="Arial" w:cs="Arial"/>
          <w:highlight w:val="magenta"/>
        </w:rPr>
        <w:t>Art. </w:t>
      </w:r>
      <w:r w:rsidR="00CE76C6" w:rsidRPr="005D3F96">
        <w:rPr>
          <w:rFonts w:ascii="Arial" w:hAnsi="Arial" w:cs="Arial"/>
          <w:highlight w:val="magenta"/>
        </w:rPr>
        <w:t>7</w:t>
      </w:r>
      <w:r w:rsidR="005D3F96" w:rsidRPr="005D3F96">
        <w:rPr>
          <w:rFonts w:ascii="Arial" w:hAnsi="Arial" w:cs="Arial"/>
          <w:highlight w:val="magenta"/>
        </w:rPr>
        <w:t xml:space="preserve"> Abs. 1</w:t>
      </w:r>
      <w:r w:rsidR="005F41A4">
        <w:rPr>
          <w:rFonts w:ascii="Arial" w:hAnsi="Arial" w:cs="Arial"/>
        </w:rPr>
        <w:t xml:space="preserve"> </w:t>
      </w:r>
      <w:r w:rsidR="00E803FE">
        <w:rPr>
          <w:rFonts w:ascii="Arial" w:hAnsi="Arial" w:cs="Arial"/>
        </w:rPr>
        <w:t>MWAR</w:t>
      </w:r>
      <w:r w:rsidR="005F41A4">
        <w:rPr>
          <w:rFonts w:ascii="Arial" w:hAnsi="Arial" w:cs="Arial"/>
        </w:rPr>
        <w:t>).</w:t>
      </w:r>
    </w:p>
    <w:p w:rsidR="005F41A4" w:rsidRPr="00CD46ED" w:rsidRDefault="005F41A4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  <w:i/>
        </w:rPr>
      </w:pPr>
      <w:r w:rsidRPr="00CD46ED">
        <w:rPr>
          <w:rFonts w:ascii="Arial" w:hAnsi="Arial" w:cs="Arial"/>
          <w:i/>
          <w:highlight w:val="yellow"/>
        </w:rPr>
        <w:t xml:space="preserve">[Darlegung, dass die Planung für </w:t>
      </w:r>
      <w:r w:rsidR="00CE76C6" w:rsidRPr="00CD46ED">
        <w:rPr>
          <w:rFonts w:ascii="Arial" w:hAnsi="Arial" w:cs="Arial"/>
          <w:i/>
          <w:highlight w:val="yellow"/>
        </w:rPr>
        <w:t>die</w:t>
      </w:r>
      <w:r w:rsidRPr="00CD46ED">
        <w:rPr>
          <w:rFonts w:ascii="Arial" w:hAnsi="Arial" w:cs="Arial"/>
          <w:i/>
          <w:highlight w:val="yellow"/>
        </w:rPr>
        <w:t xml:space="preserve"> Grundeigentümer</w:t>
      </w:r>
      <w:r w:rsidR="009114F6" w:rsidRPr="00CD46ED">
        <w:rPr>
          <w:rFonts w:ascii="Arial" w:hAnsi="Arial" w:cs="Arial"/>
          <w:i/>
          <w:highlight w:val="yellow"/>
        </w:rPr>
        <w:t>schaft</w:t>
      </w:r>
      <w:r w:rsidRPr="00CD46ED">
        <w:rPr>
          <w:rFonts w:ascii="Arial" w:hAnsi="Arial" w:cs="Arial"/>
          <w:i/>
          <w:highlight w:val="yellow"/>
        </w:rPr>
        <w:t xml:space="preserve"> eine Einzonung bewirkt]</w:t>
      </w:r>
      <w:r w:rsidRPr="00CD46ED">
        <w:rPr>
          <w:rFonts w:ascii="Arial" w:hAnsi="Arial" w:cs="Arial"/>
          <w:i/>
        </w:rPr>
        <w:t>.</w:t>
      </w:r>
    </w:p>
    <w:p w:rsidR="005F41A4" w:rsidRDefault="005F41A4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Durch die erfolgte Einzonung hat sich der Abgabetatbestand nach Art. 142a Abs. 1 BauG und </w:t>
      </w:r>
      <w:r w:rsidRPr="00CE76C6">
        <w:rPr>
          <w:rFonts w:ascii="Arial" w:hAnsi="Arial" w:cs="Arial"/>
          <w:highlight w:val="magenta"/>
        </w:rPr>
        <w:t>Art. </w:t>
      </w:r>
      <w:r w:rsidR="00CE76C6" w:rsidRPr="00CE76C6">
        <w:rPr>
          <w:rFonts w:ascii="Arial" w:hAnsi="Arial" w:cs="Arial"/>
          <w:highlight w:val="magenta"/>
        </w:rPr>
        <w:t>1 Abs. 1 Bst. a</w:t>
      </w:r>
      <w:r>
        <w:rPr>
          <w:rFonts w:ascii="Arial" w:hAnsi="Arial" w:cs="Arial"/>
        </w:rPr>
        <w:t xml:space="preserve"> </w:t>
      </w:r>
      <w:r w:rsidR="00E803FE">
        <w:rPr>
          <w:rFonts w:ascii="Arial" w:hAnsi="Arial" w:cs="Arial"/>
        </w:rPr>
        <w:t xml:space="preserve">MWAR </w:t>
      </w:r>
      <w:r w:rsidR="0064667D">
        <w:rPr>
          <w:rFonts w:ascii="Arial" w:hAnsi="Arial" w:cs="Arial"/>
        </w:rPr>
        <w:t>verwirklicht.</w:t>
      </w:r>
    </w:p>
    <w:p w:rsidR="00CE76C6" w:rsidRPr="00CD46ED" w:rsidRDefault="00CE76C6" w:rsidP="006A41A6">
      <w:pPr>
        <w:pStyle w:val="Listenabsatz"/>
        <w:numPr>
          <w:ilvl w:val="0"/>
          <w:numId w:val="2"/>
        </w:numPr>
        <w:spacing w:after="0"/>
        <w:ind w:hanging="720"/>
        <w:contextualSpacing w:val="0"/>
        <w:rPr>
          <w:rFonts w:ascii="Arial" w:hAnsi="Arial" w:cs="Arial"/>
          <w:i/>
        </w:rPr>
      </w:pPr>
      <w:r w:rsidRPr="00CD46ED">
        <w:rPr>
          <w:rFonts w:ascii="Arial" w:hAnsi="Arial" w:cs="Arial"/>
          <w:i/>
          <w:highlight w:val="yellow"/>
        </w:rPr>
        <w:lastRenderedPageBreak/>
        <w:t>[Herleitung des Mehrwerts, unter Bezugnahme auf die Unterlagen und allfälliger Einwände der Grundeigentümerin]</w:t>
      </w:r>
    </w:p>
    <w:p w:rsidR="005F41A4" w:rsidRDefault="00CE76C6" w:rsidP="005F41A4">
      <w:pPr>
        <w:pStyle w:val="Listenabsatz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Aus den genannten Gründen wird der Mehrwert auf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 xml:space="preserve"> festgelegt. </w:t>
      </w:r>
    </w:p>
    <w:p w:rsidR="00CE76C6" w:rsidRDefault="00CE76C6" w:rsidP="00CE76C6">
      <w:pPr>
        <w:pStyle w:val="Listenabsatz"/>
        <w:numPr>
          <w:ilvl w:val="0"/>
          <w:numId w:val="2"/>
        </w:numPr>
        <w:spacing w:after="0"/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Die Höhe der Mehrwertabgabe wird </w:t>
      </w:r>
      <w:r w:rsidR="0064667D">
        <w:rPr>
          <w:rFonts w:ascii="Arial" w:hAnsi="Arial" w:cs="Arial"/>
        </w:rPr>
        <w:t>nach Massgabe von</w:t>
      </w:r>
      <w:r>
        <w:rPr>
          <w:rFonts w:ascii="Arial" w:hAnsi="Arial" w:cs="Arial"/>
        </w:rPr>
        <w:t xml:space="preserve"> </w:t>
      </w:r>
      <w:r w:rsidRPr="002A02CB">
        <w:rPr>
          <w:rFonts w:ascii="Arial" w:hAnsi="Arial" w:cs="Arial"/>
          <w:highlight w:val="magenta"/>
        </w:rPr>
        <w:t>Art. 2 Abs. 1 Bst. a</w:t>
      </w:r>
      <w:r>
        <w:rPr>
          <w:rFonts w:ascii="Arial" w:hAnsi="Arial" w:cs="Arial"/>
        </w:rPr>
        <w:t xml:space="preserve"> </w:t>
      </w:r>
      <w:r w:rsidR="00E803FE">
        <w:rPr>
          <w:rFonts w:ascii="Arial" w:hAnsi="Arial" w:cs="Arial"/>
        </w:rPr>
        <w:t xml:space="preserve">MWAR </w:t>
      </w:r>
      <w:r>
        <w:rPr>
          <w:rFonts w:ascii="Arial" w:hAnsi="Arial" w:cs="Arial"/>
        </w:rPr>
        <w:t>wie folgt festgelegt:</w:t>
      </w:r>
    </w:p>
    <w:p w:rsidR="00CE76C6" w:rsidRDefault="00CE76C6" w:rsidP="00CD46ED">
      <w:pPr>
        <w:pStyle w:val="Listenabsatz"/>
        <w:numPr>
          <w:ilvl w:val="0"/>
          <w:numId w:val="3"/>
        </w:numPr>
        <w:spacing w:after="0"/>
        <w:ind w:left="1077" w:hanging="357"/>
        <w:contextualSpacing w:val="0"/>
        <w:rPr>
          <w:rFonts w:ascii="Arial" w:hAnsi="Arial" w:cs="Arial"/>
        </w:rPr>
      </w:pPr>
      <w:r w:rsidRPr="00CE76C6">
        <w:rPr>
          <w:rFonts w:ascii="Arial" w:hAnsi="Arial" w:cs="Arial"/>
        </w:rPr>
        <w:t>während der ersten fünf Jahre ab</w:t>
      </w:r>
      <w:r>
        <w:rPr>
          <w:rFonts w:ascii="Arial" w:hAnsi="Arial" w:cs="Arial"/>
        </w:rPr>
        <w:t xml:space="preserve"> Rechtskraft der Einzonung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>;</w:t>
      </w:r>
    </w:p>
    <w:p w:rsidR="00CE76C6" w:rsidRDefault="00CE76C6" w:rsidP="00CD46ED">
      <w:pPr>
        <w:pStyle w:val="Listenabsatz"/>
        <w:numPr>
          <w:ilvl w:val="0"/>
          <w:numId w:val="3"/>
        </w:numPr>
        <w:spacing w:after="0"/>
        <w:ind w:left="1077" w:hanging="357"/>
        <w:contextualSpacing w:val="0"/>
        <w:rPr>
          <w:rFonts w:ascii="Arial" w:hAnsi="Arial" w:cs="Arial"/>
        </w:rPr>
      </w:pPr>
      <w:r w:rsidRPr="0086058E">
        <w:rPr>
          <w:rFonts w:ascii="Arial" w:hAnsi="Arial" w:cs="Arial"/>
        </w:rPr>
        <w:t xml:space="preserve">ab dem sechsten bis zehn Jahre ab Rechtskraft der Einzonung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>;</w:t>
      </w:r>
    </w:p>
    <w:p w:rsidR="00CE76C6" w:rsidRDefault="00CE76C6" w:rsidP="00CD46ED">
      <w:pPr>
        <w:pStyle w:val="Listenabsatz"/>
        <w:numPr>
          <w:ilvl w:val="0"/>
          <w:numId w:val="3"/>
        </w:numPr>
        <w:ind w:left="1077" w:hanging="357"/>
        <w:contextualSpacing w:val="0"/>
        <w:rPr>
          <w:rFonts w:ascii="Arial" w:hAnsi="Arial" w:cs="Arial"/>
        </w:rPr>
      </w:pPr>
      <w:r w:rsidRPr="0086058E">
        <w:rPr>
          <w:rFonts w:ascii="Arial" w:hAnsi="Arial" w:cs="Arial"/>
        </w:rPr>
        <w:t xml:space="preserve">ab dem elften Jahr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>.</w:t>
      </w:r>
    </w:p>
    <w:p w:rsidR="00DD1DC5" w:rsidRPr="00DD1DC5" w:rsidRDefault="00DD1DC5" w:rsidP="00DD1DC5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Der verfügte Abgabebetrag unterliegt dem Teuerungsausgleich nach Massgabe des </w:t>
      </w:r>
      <w:r w:rsidR="009114F6">
        <w:rPr>
          <w:rFonts w:ascii="Arial" w:hAnsi="Arial" w:cs="Arial"/>
        </w:rPr>
        <w:t xml:space="preserve">Landesindexes der Konsumentenpreise </w:t>
      </w:r>
      <w:r>
        <w:rPr>
          <w:rFonts w:ascii="Arial" w:hAnsi="Arial" w:cs="Arial"/>
        </w:rPr>
        <w:t>(</w:t>
      </w:r>
      <w:r w:rsidR="009114F6">
        <w:rPr>
          <w:rFonts w:ascii="Arial" w:hAnsi="Arial" w:cs="Arial"/>
        </w:rPr>
        <w:t xml:space="preserve">Art. 142d Abs. 3a BauG und </w:t>
      </w:r>
      <w:r w:rsidRPr="005D3F96">
        <w:rPr>
          <w:rFonts w:ascii="Arial" w:hAnsi="Arial" w:cs="Arial"/>
          <w:highlight w:val="magenta"/>
        </w:rPr>
        <w:t>Art. 2 Abs. 4</w:t>
      </w:r>
      <w:r>
        <w:rPr>
          <w:rFonts w:ascii="Arial" w:hAnsi="Arial" w:cs="Arial"/>
        </w:rPr>
        <w:t xml:space="preserve"> </w:t>
      </w:r>
      <w:r w:rsidR="00E803FE">
        <w:rPr>
          <w:rFonts w:ascii="Arial" w:hAnsi="Arial" w:cs="Arial"/>
        </w:rPr>
        <w:t>MWAR</w:t>
      </w:r>
      <w:r>
        <w:rPr>
          <w:rFonts w:ascii="Arial" w:hAnsi="Arial" w:cs="Arial"/>
        </w:rPr>
        <w:t>).</w:t>
      </w:r>
    </w:p>
    <w:p w:rsidR="00CE76C6" w:rsidRDefault="002A02CB" w:rsidP="00CE76C6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 w:rsidRPr="002A02CB">
        <w:rPr>
          <w:rFonts w:ascii="Arial" w:hAnsi="Arial" w:cs="Arial"/>
        </w:rPr>
        <w:t xml:space="preserve">Gemäss Art. 142c Abs. 1 BauG wird die Mehrwertabgabe </w:t>
      </w:r>
      <w:r w:rsidR="009114F6">
        <w:rPr>
          <w:rFonts w:ascii="Arial" w:hAnsi="Arial" w:cs="Arial"/>
        </w:rPr>
        <w:t xml:space="preserve">bei einer Einzonung </w:t>
      </w:r>
      <w:r w:rsidRPr="002A02CB">
        <w:rPr>
          <w:rFonts w:ascii="Arial" w:hAnsi="Arial" w:cs="Arial"/>
        </w:rPr>
        <w:t>fällig, wenn der planungs</w:t>
      </w:r>
      <w:r>
        <w:rPr>
          <w:rFonts w:ascii="Arial" w:hAnsi="Arial" w:cs="Arial"/>
        </w:rPr>
        <w:softHyphen/>
      </w:r>
      <w:r w:rsidRPr="002A02CB">
        <w:rPr>
          <w:rFonts w:ascii="Arial" w:hAnsi="Arial" w:cs="Arial"/>
        </w:rPr>
        <w:t xml:space="preserve">bedingte Mehrwert durch Überbauung oder durch Veräusserung realisiert wird, wobei </w:t>
      </w:r>
      <w:r>
        <w:rPr>
          <w:rFonts w:ascii="Arial" w:hAnsi="Arial" w:cs="Arial"/>
        </w:rPr>
        <w:t xml:space="preserve">als Veräusserung sinngemäss </w:t>
      </w:r>
      <w:r w:rsidRPr="002A02CB">
        <w:rPr>
          <w:rFonts w:ascii="Arial" w:hAnsi="Arial" w:cs="Arial"/>
        </w:rPr>
        <w:t xml:space="preserve">die in Art. 130 </w:t>
      </w:r>
      <w:r w:rsidR="009114F6">
        <w:rPr>
          <w:rFonts w:ascii="Arial" w:hAnsi="Arial" w:cs="Arial"/>
        </w:rPr>
        <w:t xml:space="preserve">des </w:t>
      </w:r>
      <w:r w:rsidRPr="002A02CB">
        <w:rPr>
          <w:rFonts w:ascii="Arial" w:hAnsi="Arial" w:cs="Arial"/>
        </w:rPr>
        <w:t xml:space="preserve">Steuergesetzes vom 21. Mai 2000 (StG; BSG 661.11) </w:t>
      </w:r>
      <w:r>
        <w:rPr>
          <w:rFonts w:ascii="Arial" w:hAnsi="Arial" w:cs="Arial"/>
        </w:rPr>
        <w:t>genannten Vorgänge gelten. Bei teilweiser Überbauung oder Veräus</w:t>
      </w:r>
      <w:r>
        <w:rPr>
          <w:rFonts w:ascii="Arial" w:hAnsi="Arial" w:cs="Arial"/>
        </w:rPr>
        <w:softHyphen/>
        <w:t xml:space="preserve">serung des Landes wird die Abgabe anteilsmässig fällig (Art. 142c Abs. 2 BauG). Im Verzugsfall ist gemäss </w:t>
      </w:r>
      <w:r w:rsidRPr="002A02CB">
        <w:rPr>
          <w:rFonts w:ascii="Arial" w:hAnsi="Arial" w:cs="Arial"/>
          <w:highlight w:val="magenta"/>
        </w:rPr>
        <w:t>Art. 3 Abs. 2</w:t>
      </w:r>
      <w:r>
        <w:rPr>
          <w:rFonts w:ascii="Arial" w:hAnsi="Arial" w:cs="Arial"/>
        </w:rPr>
        <w:t xml:space="preserve"> </w:t>
      </w:r>
      <w:r w:rsidR="00E803FE">
        <w:rPr>
          <w:rFonts w:ascii="Arial" w:hAnsi="Arial" w:cs="Arial"/>
        </w:rPr>
        <w:t>MWAR</w:t>
      </w:r>
      <w:r>
        <w:rPr>
          <w:rFonts w:ascii="Arial" w:hAnsi="Arial" w:cs="Arial"/>
        </w:rPr>
        <w:t xml:space="preserve"> ein Verzugszins </w:t>
      </w:r>
      <w:r w:rsidR="009114F6">
        <w:rPr>
          <w:rFonts w:ascii="Arial" w:hAnsi="Arial" w:cs="Arial"/>
        </w:rPr>
        <w:t xml:space="preserve">von ■ % </w:t>
      </w:r>
      <w:r>
        <w:rPr>
          <w:rFonts w:ascii="Arial" w:hAnsi="Arial" w:cs="Arial"/>
        </w:rPr>
        <w:t>geschuldet.</w:t>
      </w:r>
    </w:p>
    <w:p w:rsidR="002A02CB" w:rsidRPr="00CD46ED" w:rsidRDefault="002A02CB" w:rsidP="00CD46ED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 w:rsidRPr="00E564DA">
        <w:rPr>
          <w:rFonts w:ascii="Arial" w:hAnsi="Arial" w:cs="Arial"/>
        </w:rPr>
        <w:t xml:space="preserve">Zur Sicherung der Forderungen und Verzugszinsen besteht ein </w:t>
      </w:r>
      <w:r w:rsidR="009114F6">
        <w:rPr>
          <w:rFonts w:ascii="Arial" w:hAnsi="Arial" w:cs="Arial"/>
        </w:rPr>
        <w:t xml:space="preserve">unmittelbares </w:t>
      </w:r>
      <w:r w:rsidRPr="00E564DA">
        <w:rPr>
          <w:rFonts w:ascii="Arial" w:hAnsi="Arial" w:cs="Arial"/>
        </w:rPr>
        <w:t>gesetzliches Grundpfandrecht im Sinn von Art. </w:t>
      </w:r>
      <w:r w:rsidR="00E564DA" w:rsidRPr="00E564DA">
        <w:rPr>
          <w:rFonts w:ascii="Arial" w:hAnsi="Arial" w:cs="Arial"/>
        </w:rPr>
        <w:t xml:space="preserve">109a </w:t>
      </w:r>
      <w:r w:rsidR="000D7934">
        <w:rPr>
          <w:rFonts w:ascii="Arial" w:hAnsi="Arial" w:cs="Arial"/>
        </w:rPr>
        <w:t xml:space="preserve">Abs. 1 </w:t>
      </w:r>
      <w:r w:rsidR="00E564DA" w:rsidRPr="00E564DA">
        <w:rPr>
          <w:rFonts w:ascii="Arial" w:hAnsi="Arial" w:cs="Arial"/>
        </w:rPr>
        <w:t>Bst. </w:t>
      </w:r>
      <w:r w:rsidR="000D7934">
        <w:rPr>
          <w:rFonts w:ascii="Arial" w:hAnsi="Arial" w:cs="Arial"/>
        </w:rPr>
        <w:t>d1</w:t>
      </w:r>
      <w:r w:rsidR="00E564DA" w:rsidRPr="00E564DA">
        <w:rPr>
          <w:rFonts w:ascii="Arial" w:hAnsi="Arial" w:cs="Arial"/>
        </w:rPr>
        <w:t xml:space="preserve"> Gesetzes vom 28. Mai 1911 betreffend die Einführung des Schweizerischen Zivilgesetzbuches (EG ZGB; BSG 211.1).</w:t>
      </w:r>
      <w:r w:rsidR="00E564DA">
        <w:rPr>
          <w:rFonts w:ascii="Arial" w:hAnsi="Arial" w:cs="Arial"/>
        </w:rPr>
        <w:t xml:space="preserve"> </w:t>
      </w:r>
      <w:r w:rsidR="009114F6" w:rsidRPr="00CD46ED">
        <w:rPr>
          <w:rFonts w:ascii="Arial" w:hAnsi="Arial" w:cs="Arial"/>
        </w:rPr>
        <w:t xml:space="preserve">Für </w:t>
      </w:r>
      <w:r w:rsidR="00C63C93" w:rsidRPr="00CD46ED">
        <w:rPr>
          <w:rFonts w:ascii="Arial" w:hAnsi="Arial" w:cs="Arial"/>
        </w:rPr>
        <w:t xml:space="preserve">die hier verfügte Mehrwertabgabe </w:t>
      </w:r>
      <w:r w:rsidR="009114F6" w:rsidRPr="00CD46ED">
        <w:rPr>
          <w:rFonts w:ascii="Arial" w:hAnsi="Arial" w:cs="Arial"/>
        </w:rPr>
        <w:t xml:space="preserve">von CHF </w:t>
      </w:r>
      <w:r w:rsidR="006C24C5" w:rsidRPr="00CD46ED">
        <w:rPr>
          <w:rFonts w:ascii="Arial" w:hAnsi="Arial" w:cs="Arial"/>
        </w:rPr>
        <w:t xml:space="preserve">■ </w:t>
      </w:r>
      <w:r w:rsidR="00C63C93" w:rsidRPr="00CD46ED">
        <w:rPr>
          <w:rFonts w:ascii="Arial" w:hAnsi="Arial" w:cs="Arial"/>
        </w:rPr>
        <w:t xml:space="preserve">und die </w:t>
      </w:r>
      <w:r w:rsidR="009114F6" w:rsidRPr="00CD46ED">
        <w:rPr>
          <w:rFonts w:ascii="Arial" w:hAnsi="Arial" w:cs="Arial"/>
        </w:rPr>
        <w:t xml:space="preserve">allfälligen </w:t>
      </w:r>
      <w:r w:rsidR="00C63C93" w:rsidRPr="00CD46ED">
        <w:rPr>
          <w:rFonts w:ascii="Arial" w:hAnsi="Arial" w:cs="Arial"/>
        </w:rPr>
        <w:t xml:space="preserve">Verzugszinse </w:t>
      </w:r>
      <w:r w:rsidR="009114F6" w:rsidRPr="00CD46ED">
        <w:rPr>
          <w:rFonts w:ascii="Arial" w:hAnsi="Arial" w:cs="Arial"/>
        </w:rPr>
        <w:t xml:space="preserve">besteht ab Rechtskraft der mehrwertbegründenden Planung </w:t>
      </w:r>
      <w:r w:rsidR="00C63C93" w:rsidRPr="00CD46ED">
        <w:rPr>
          <w:rFonts w:ascii="Arial" w:hAnsi="Arial" w:cs="Arial"/>
        </w:rPr>
        <w:t xml:space="preserve">ein </w:t>
      </w:r>
      <w:r w:rsidR="009114F6" w:rsidRPr="00CD46ED">
        <w:rPr>
          <w:rFonts w:ascii="Arial" w:hAnsi="Arial" w:cs="Arial"/>
        </w:rPr>
        <w:t>unmitttelbar</w:t>
      </w:r>
      <w:r w:rsidR="00810AC4" w:rsidRPr="00CD46ED">
        <w:rPr>
          <w:rFonts w:ascii="Arial" w:hAnsi="Arial" w:cs="Arial"/>
        </w:rPr>
        <w:t>es</w:t>
      </w:r>
      <w:r w:rsidR="009114F6" w:rsidRPr="00CD46ED">
        <w:rPr>
          <w:rFonts w:ascii="Arial" w:hAnsi="Arial" w:cs="Arial"/>
        </w:rPr>
        <w:t xml:space="preserve"> gesetzliches </w:t>
      </w:r>
      <w:r w:rsidR="00C63C93" w:rsidRPr="00CD46ED">
        <w:rPr>
          <w:rFonts w:ascii="Arial" w:hAnsi="Arial" w:cs="Arial"/>
        </w:rPr>
        <w:t xml:space="preserve">Pfandrecht zu Gunsten der Gemeinde </w:t>
      </w:r>
      <w:r w:rsidR="006C24C5" w:rsidRPr="00CD46ED">
        <w:rPr>
          <w:rFonts w:ascii="Arial" w:hAnsi="Arial" w:cs="Arial"/>
          <w:highlight w:val="yellow"/>
        </w:rPr>
        <w:t>■</w:t>
      </w:r>
      <w:r w:rsidR="00C63C93" w:rsidRPr="00CD46ED">
        <w:rPr>
          <w:rFonts w:ascii="Arial" w:hAnsi="Arial" w:cs="Arial"/>
        </w:rPr>
        <w:t xml:space="preserve"> und zu Lasten der Parzelle </w:t>
      </w:r>
      <w:r w:rsidR="006C24C5" w:rsidRPr="00CD46ED">
        <w:rPr>
          <w:rFonts w:ascii="Arial" w:hAnsi="Arial" w:cs="Arial"/>
          <w:highlight w:val="yellow"/>
        </w:rPr>
        <w:t>■</w:t>
      </w:r>
      <w:r w:rsidR="00EB1330" w:rsidRPr="00CD46ED">
        <w:rPr>
          <w:rFonts w:ascii="Arial" w:hAnsi="Arial" w:cs="Arial"/>
        </w:rPr>
        <w:t xml:space="preserve"> (Art. 142e Abs. 2 BauG).</w:t>
      </w:r>
      <w:r w:rsidR="00CD46ED" w:rsidRPr="00CD46ED">
        <w:rPr>
          <w:rFonts w:ascii="Arial" w:hAnsi="Arial" w:cs="Arial"/>
        </w:rPr>
        <w:t xml:space="preserve"> </w:t>
      </w:r>
      <w:r w:rsidR="00CC53FB" w:rsidRPr="00CD46ED">
        <w:rPr>
          <w:rFonts w:ascii="Arial" w:hAnsi="Arial" w:cs="Arial"/>
        </w:rPr>
        <w:t>Damit das gesetzliche Grundpfandrecht gemäss Art. </w:t>
      </w:r>
      <w:r w:rsidR="000D7934" w:rsidRPr="00CD46ED">
        <w:rPr>
          <w:rFonts w:ascii="Arial" w:hAnsi="Arial" w:cs="Arial"/>
        </w:rPr>
        <w:t xml:space="preserve">109a </w:t>
      </w:r>
      <w:r w:rsidR="00CC53FB" w:rsidRPr="00CD46ED">
        <w:rPr>
          <w:rFonts w:ascii="Arial" w:hAnsi="Arial" w:cs="Arial"/>
        </w:rPr>
        <w:t>Abs. 1</w:t>
      </w:r>
      <w:r w:rsidR="000D7934" w:rsidRPr="00CD46ED">
        <w:rPr>
          <w:rFonts w:ascii="Arial" w:hAnsi="Arial" w:cs="Arial"/>
        </w:rPr>
        <w:t xml:space="preserve"> Bst. d1</w:t>
      </w:r>
      <w:r w:rsidR="00CC53FB" w:rsidRPr="00CD46ED">
        <w:rPr>
          <w:rFonts w:ascii="Arial" w:hAnsi="Arial" w:cs="Arial"/>
        </w:rPr>
        <w:t xml:space="preserve"> EG ZGB nicht nach sechs Monaten </w:t>
      </w:r>
      <w:r w:rsidR="00237D3F" w:rsidRPr="00CD46ED">
        <w:rPr>
          <w:rFonts w:ascii="Arial" w:hAnsi="Arial" w:cs="Arial"/>
        </w:rPr>
        <w:t xml:space="preserve">nach Rechtskraft der vorliegenden Verfügung </w:t>
      </w:r>
      <w:r w:rsidR="00CC53FB" w:rsidRPr="00CD46ED">
        <w:rPr>
          <w:rFonts w:ascii="Arial" w:hAnsi="Arial" w:cs="Arial"/>
        </w:rPr>
        <w:t xml:space="preserve">erlischt und es nach Art. 109d Abs. 4 EG ZGB gutgläubigen Dritten auch nach Ablauf von </w:t>
      </w:r>
      <w:r w:rsidR="002D5293" w:rsidRPr="00CD46ED">
        <w:rPr>
          <w:rFonts w:ascii="Arial" w:hAnsi="Arial" w:cs="Arial"/>
        </w:rPr>
        <w:t>zwei Jahren seit der Forderungs</w:t>
      </w:r>
      <w:r w:rsidR="002D5293" w:rsidRPr="00CD46ED">
        <w:rPr>
          <w:rFonts w:ascii="Arial" w:hAnsi="Arial" w:cs="Arial"/>
        </w:rPr>
        <w:softHyphen/>
        <w:t>entstehung</w:t>
      </w:r>
      <w:r w:rsidR="00CC53FB" w:rsidRPr="00CD46ED">
        <w:rPr>
          <w:rFonts w:ascii="Arial" w:hAnsi="Arial" w:cs="Arial"/>
        </w:rPr>
        <w:t xml:space="preserve"> entgegengehalten werden kann, wird d</w:t>
      </w:r>
      <w:r w:rsidR="00C63C93" w:rsidRPr="00CD46ED">
        <w:rPr>
          <w:rFonts w:ascii="Arial" w:hAnsi="Arial" w:cs="Arial"/>
        </w:rPr>
        <w:t xml:space="preserve">ie Gemeinde das Pfandrecht nach Eintritt der Rechtskraft der </w:t>
      </w:r>
      <w:r w:rsidR="00CD46ED">
        <w:rPr>
          <w:rFonts w:ascii="Arial" w:hAnsi="Arial" w:cs="Arial"/>
        </w:rPr>
        <w:t xml:space="preserve">mehrwertbegründenden Einzonung </w:t>
      </w:r>
      <w:r w:rsidR="00C63C93" w:rsidRPr="00CD46ED">
        <w:rPr>
          <w:rFonts w:ascii="Arial" w:hAnsi="Arial" w:cs="Arial"/>
        </w:rPr>
        <w:t>beim örtlich zuständigen Grundbuchamt zur Eintragung anmelden.</w:t>
      </w:r>
    </w:p>
    <w:p w:rsidR="00CD46ED" w:rsidRDefault="00C63C93" w:rsidP="00CD46ED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Gemäss Art. 142f Abs. 1 BauG fällt die </w:t>
      </w:r>
      <w:r w:rsidR="00C0608A">
        <w:rPr>
          <w:rFonts w:ascii="Arial" w:hAnsi="Arial" w:cs="Arial"/>
        </w:rPr>
        <w:t xml:space="preserve">bezahlte </w:t>
      </w:r>
      <w:r>
        <w:rPr>
          <w:rFonts w:ascii="Arial" w:hAnsi="Arial" w:cs="Arial"/>
        </w:rPr>
        <w:t xml:space="preserve">Mehrwertabgabe zu 10 % </w:t>
      </w:r>
      <w:r w:rsidR="00C0608A">
        <w:rPr>
          <w:rFonts w:ascii="Arial" w:hAnsi="Arial" w:cs="Arial"/>
        </w:rPr>
        <w:t xml:space="preserve">dem </w:t>
      </w:r>
      <w:r>
        <w:rPr>
          <w:rFonts w:ascii="Arial" w:hAnsi="Arial" w:cs="Arial"/>
        </w:rPr>
        <w:t>Kanton</w:t>
      </w:r>
      <w:r w:rsidR="00C0608A">
        <w:rPr>
          <w:rFonts w:ascii="Arial" w:hAnsi="Arial" w:cs="Arial"/>
        </w:rPr>
        <w:t xml:space="preserve"> zu. Die </w:t>
      </w:r>
      <w:r>
        <w:rPr>
          <w:rFonts w:ascii="Arial" w:hAnsi="Arial" w:cs="Arial"/>
        </w:rPr>
        <w:t xml:space="preserve">vorliegende Verfügung </w:t>
      </w:r>
      <w:r w:rsidR="00C0608A">
        <w:rPr>
          <w:rFonts w:ascii="Arial" w:hAnsi="Arial" w:cs="Arial"/>
        </w:rPr>
        <w:t>ist gemäss Art. 120b Abs. 1 BauV dem Amt für Gemeinden und Raumordnung (AGR) zu eröffnen</w:t>
      </w:r>
      <w:r>
        <w:rPr>
          <w:rFonts w:ascii="Arial" w:hAnsi="Arial" w:cs="Arial"/>
        </w:rPr>
        <w:t xml:space="preserve">. </w:t>
      </w:r>
    </w:p>
    <w:p w:rsidR="00CD46ED" w:rsidRDefault="00C0608A" w:rsidP="0093687A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 w:rsidRPr="00CD46ED">
        <w:rPr>
          <w:rFonts w:ascii="Arial" w:hAnsi="Arial" w:cs="Arial"/>
        </w:rPr>
        <w:t xml:space="preserve">Nach </w:t>
      </w:r>
      <w:r w:rsidR="00C63C93" w:rsidRPr="00CD46ED">
        <w:rPr>
          <w:rFonts w:ascii="Arial" w:hAnsi="Arial" w:cs="Arial"/>
        </w:rPr>
        <w:t xml:space="preserve">Art. 142c Abs. 3 BauG </w:t>
      </w:r>
      <w:r w:rsidRPr="00CD46ED">
        <w:rPr>
          <w:rFonts w:ascii="Arial" w:hAnsi="Arial" w:cs="Arial"/>
        </w:rPr>
        <w:t xml:space="preserve">stellen die Grundbuchämter die </w:t>
      </w:r>
      <w:r w:rsidR="00BB46BD" w:rsidRPr="00CD46ED">
        <w:rPr>
          <w:rFonts w:ascii="Arial" w:hAnsi="Arial" w:cs="Arial"/>
        </w:rPr>
        <w:t xml:space="preserve">Meldungen über die </w:t>
      </w:r>
      <w:r w:rsidRPr="00CD46ED">
        <w:rPr>
          <w:rFonts w:ascii="Arial" w:hAnsi="Arial" w:cs="Arial"/>
        </w:rPr>
        <w:t xml:space="preserve">ihnen bekannten Veräusserungstatbestände, welche die Fälligkeit der Mehrwertabgabe </w:t>
      </w:r>
      <w:r w:rsidR="00BB46BD" w:rsidRPr="00CD46ED">
        <w:rPr>
          <w:rFonts w:ascii="Arial" w:hAnsi="Arial" w:cs="Arial"/>
        </w:rPr>
        <w:t>auslösen</w:t>
      </w:r>
      <w:r w:rsidRPr="00CD46ED">
        <w:rPr>
          <w:rFonts w:ascii="Arial" w:hAnsi="Arial" w:cs="Arial"/>
        </w:rPr>
        <w:t>, den Gemeinden in geeigneter Form zur Verfügung</w:t>
      </w:r>
      <w:r w:rsidR="00BB46BD" w:rsidRPr="00CD46ED">
        <w:rPr>
          <w:rFonts w:ascii="Arial" w:hAnsi="Arial" w:cs="Arial"/>
        </w:rPr>
        <w:t xml:space="preserve">. Die vorliegende Verfügung wird deshalb dem Grundbuchamt </w:t>
      </w:r>
      <w:r w:rsidR="006C24C5" w:rsidRPr="00CD46ED">
        <w:rPr>
          <w:rFonts w:ascii="Arial" w:hAnsi="Arial" w:cs="Arial"/>
        </w:rPr>
        <w:t xml:space="preserve">■ </w:t>
      </w:r>
      <w:r w:rsidR="00BB46BD" w:rsidRPr="00CD46ED">
        <w:rPr>
          <w:rFonts w:ascii="Arial" w:hAnsi="Arial" w:cs="Arial"/>
        </w:rPr>
        <w:t>eröffnet.</w:t>
      </w:r>
    </w:p>
    <w:p w:rsidR="0093687A" w:rsidRPr="00CD46ED" w:rsidRDefault="0093687A" w:rsidP="0093687A">
      <w:pPr>
        <w:pStyle w:val="Listenabsatz"/>
        <w:numPr>
          <w:ilvl w:val="0"/>
          <w:numId w:val="2"/>
        </w:numPr>
        <w:ind w:hanging="720"/>
        <w:contextualSpacing w:val="0"/>
        <w:rPr>
          <w:rFonts w:ascii="Arial" w:hAnsi="Arial" w:cs="Arial"/>
        </w:rPr>
      </w:pPr>
      <w:r w:rsidRPr="00CD46ED">
        <w:rPr>
          <w:rFonts w:ascii="Arial" w:hAnsi="Arial" w:cs="Arial"/>
        </w:rPr>
        <w:t>Für den Erlass dieser Verfügung wird keine Gebühr erhoben.</w:t>
      </w:r>
      <w:r w:rsidR="009E0DBD" w:rsidRPr="00CD46ED">
        <w:rPr>
          <w:rFonts w:ascii="Arial" w:hAnsi="Arial" w:cs="Arial"/>
        </w:rPr>
        <w:t xml:space="preserve"> </w:t>
      </w:r>
    </w:p>
    <w:p w:rsidR="00CE76C6" w:rsidRPr="00011D3E" w:rsidRDefault="0093687A" w:rsidP="0093687A">
      <w:pPr>
        <w:pStyle w:val="Listenabsatz"/>
        <w:shd w:val="clear" w:color="auto" w:fill="EAF1DD" w:themeFill="accent3" w:themeFillTint="33"/>
        <w:rPr>
          <w:rFonts w:ascii="Arial" w:hAnsi="Arial" w:cs="Arial"/>
        </w:rPr>
      </w:pPr>
      <w:r w:rsidRPr="0093687A">
        <w:rPr>
          <w:rFonts w:ascii="Arial" w:hAnsi="Arial" w:cs="Arial"/>
          <w:i/>
        </w:rPr>
        <w:t>Variante:</w:t>
      </w:r>
      <w:r>
        <w:rPr>
          <w:rFonts w:ascii="Arial" w:hAnsi="Arial" w:cs="Arial"/>
          <w:i/>
        </w:rPr>
        <w:br/>
      </w:r>
      <w:r w:rsidR="00011D3E">
        <w:rPr>
          <w:rFonts w:ascii="Arial" w:hAnsi="Arial" w:cs="Arial"/>
        </w:rPr>
        <w:t xml:space="preserve">Gemäss </w:t>
      </w:r>
      <w:r w:rsidR="00CD46ED">
        <w:rPr>
          <w:rFonts w:ascii="Arial" w:hAnsi="Arial" w:cs="Arial"/>
        </w:rPr>
        <w:t xml:space="preserve">Artikel </w:t>
      </w:r>
      <w:r w:rsidR="00CD46ED" w:rsidRPr="00CD46ED">
        <w:rPr>
          <w:rFonts w:ascii="Arial" w:hAnsi="Arial" w:cs="Arial"/>
          <w:highlight w:val="yellow"/>
        </w:rPr>
        <w:t xml:space="preserve">■ </w:t>
      </w:r>
      <w:r w:rsidRPr="00CD46ED">
        <w:rPr>
          <w:rFonts w:ascii="Arial" w:hAnsi="Arial" w:cs="Arial"/>
          <w:highlight w:val="yellow"/>
        </w:rPr>
        <w:t>des Gebührenreglements</w:t>
      </w:r>
      <w:r w:rsidR="00011D3E" w:rsidRPr="00CD46ED">
        <w:rPr>
          <w:rFonts w:ascii="Arial" w:hAnsi="Arial" w:cs="Arial"/>
          <w:highlight w:val="yellow"/>
        </w:rPr>
        <w:t xml:space="preserve"> </w:t>
      </w:r>
      <w:r w:rsidR="00CD46ED" w:rsidRPr="00CD46ED">
        <w:rPr>
          <w:rFonts w:ascii="Arial" w:hAnsi="Arial" w:cs="Arial"/>
          <w:highlight w:val="yellow"/>
        </w:rPr>
        <w:t>vom ■</w:t>
      </w:r>
      <w:r w:rsidR="00CD46ED">
        <w:rPr>
          <w:rFonts w:ascii="Arial" w:hAnsi="Arial" w:cs="Arial"/>
        </w:rPr>
        <w:t xml:space="preserve"> </w:t>
      </w:r>
      <w:r w:rsidR="00011D3E">
        <w:rPr>
          <w:rFonts w:ascii="Arial" w:hAnsi="Arial" w:cs="Arial"/>
        </w:rPr>
        <w:t xml:space="preserve">wird für die vorliegende Verfügung eine Gebühr von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 w:rsidR="00011D3E">
        <w:rPr>
          <w:rFonts w:ascii="Arial" w:hAnsi="Arial" w:cs="Arial"/>
        </w:rPr>
        <w:t xml:space="preserve"> erhoben und der Grundeigentümerin zur Bezahlung auferlegt.</w:t>
      </w:r>
    </w:p>
    <w:p w:rsidR="006A41A6" w:rsidRDefault="006A41A6" w:rsidP="00E564DA">
      <w:pPr>
        <w:rPr>
          <w:rFonts w:ascii="Arial" w:hAnsi="Arial" w:cs="Arial"/>
        </w:rPr>
      </w:pPr>
    </w:p>
    <w:p w:rsidR="00E564DA" w:rsidRDefault="00E564DA" w:rsidP="00E564DA">
      <w:pPr>
        <w:rPr>
          <w:rFonts w:ascii="Arial" w:hAnsi="Arial" w:cs="Arial"/>
        </w:rPr>
      </w:pPr>
      <w:r>
        <w:rPr>
          <w:rFonts w:ascii="Arial" w:hAnsi="Arial" w:cs="Arial"/>
        </w:rPr>
        <w:t>Aus diesen Gründen wird</w:t>
      </w:r>
    </w:p>
    <w:p w:rsidR="00E564DA" w:rsidRPr="00E564DA" w:rsidRDefault="00E564DA" w:rsidP="00E564DA">
      <w:pPr>
        <w:jc w:val="center"/>
        <w:rPr>
          <w:rFonts w:ascii="Arial" w:hAnsi="Arial" w:cs="Arial"/>
          <w:b/>
        </w:rPr>
      </w:pPr>
      <w:r w:rsidRPr="00E564DA">
        <w:rPr>
          <w:rFonts w:ascii="Arial" w:hAnsi="Arial" w:cs="Arial"/>
          <w:b/>
        </w:rPr>
        <w:t>verfügt:</w:t>
      </w:r>
    </w:p>
    <w:p w:rsidR="00E564DA" w:rsidRDefault="00E564DA" w:rsidP="00E564DA">
      <w:pPr>
        <w:pStyle w:val="Listenabsatz"/>
        <w:numPr>
          <w:ilvl w:val="0"/>
          <w:numId w:val="4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Die Mehrwertabgabe für die Einzonung des Grundstücks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 xml:space="preserve"> wird festgesetzt:</w:t>
      </w:r>
    </w:p>
    <w:p w:rsidR="00E564DA" w:rsidRDefault="00E564DA" w:rsidP="00E564DA">
      <w:pPr>
        <w:pStyle w:val="Listenabsatz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auf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 w:rsidR="005908B8">
        <w:rPr>
          <w:rFonts w:ascii="Arial" w:hAnsi="Arial" w:cs="Arial"/>
        </w:rPr>
        <w:t xml:space="preserve">, falls die Fälligkeit </w:t>
      </w:r>
      <w:r w:rsidR="004E48B7">
        <w:rPr>
          <w:rFonts w:ascii="Arial" w:hAnsi="Arial" w:cs="Arial"/>
        </w:rPr>
        <w:t xml:space="preserve">bis am </w:t>
      </w:r>
      <w:r w:rsidR="006C24C5">
        <w:rPr>
          <w:rFonts w:ascii="Arial" w:hAnsi="Arial" w:cs="Arial"/>
          <w:highlight w:val="yellow"/>
        </w:rPr>
        <w:t>■</w:t>
      </w:r>
      <w:r w:rsidR="005908B8">
        <w:rPr>
          <w:rFonts w:ascii="Arial" w:hAnsi="Arial" w:cs="Arial"/>
        </w:rPr>
        <w:t xml:space="preserve"> eintritt</w:t>
      </w:r>
      <w:r>
        <w:rPr>
          <w:rFonts w:ascii="Arial" w:hAnsi="Arial" w:cs="Arial"/>
        </w:rPr>
        <w:t>;</w:t>
      </w:r>
    </w:p>
    <w:p w:rsidR="00E564DA" w:rsidRDefault="005908B8" w:rsidP="00E564DA">
      <w:pPr>
        <w:pStyle w:val="Listenabsatz"/>
        <w:numPr>
          <w:ilvl w:val="0"/>
          <w:numId w:val="3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auf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 xml:space="preserve">, falls die Fälligkeit zwischen dem </w:t>
      </w:r>
      <w:r w:rsidR="006C24C5">
        <w:rPr>
          <w:rFonts w:ascii="Arial" w:hAnsi="Arial" w:cs="Arial"/>
        </w:rPr>
        <w:t>■</w:t>
      </w:r>
      <w:r w:rsidR="00E564DA" w:rsidRPr="00860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 </w:t>
      </w:r>
      <w:r w:rsidR="006C24C5">
        <w:rPr>
          <w:rFonts w:ascii="Arial" w:hAnsi="Arial" w:cs="Arial"/>
        </w:rPr>
        <w:t>■</w:t>
      </w:r>
      <w:r>
        <w:rPr>
          <w:rFonts w:ascii="Arial" w:hAnsi="Arial" w:cs="Arial"/>
        </w:rPr>
        <w:t xml:space="preserve"> eintritt</w:t>
      </w:r>
      <w:r w:rsidR="00E564DA">
        <w:rPr>
          <w:rFonts w:ascii="Arial" w:hAnsi="Arial" w:cs="Arial"/>
        </w:rPr>
        <w:t>;</w:t>
      </w:r>
    </w:p>
    <w:p w:rsidR="00E564DA" w:rsidRDefault="00E564DA" w:rsidP="00E564DA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auf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 w:rsidR="005908B8">
        <w:rPr>
          <w:rFonts w:ascii="Arial" w:hAnsi="Arial" w:cs="Arial"/>
        </w:rPr>
        <w:t>, falls die Fälligkeit später eintritt.</w:t>
      </w:r>
    </w:p>
    <w:p w:rsidR="00E564DA" w:rsidRDefault="00E564DA" w:rsidP="00E564DA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="006C24C5">
        <w:rPr>
          <w:rFonts w:ascii="Arial" w:hAnsi="Arial" w:cs="Arial"/>
          <w:u w:val="double"/>
        </w:rPr>
        <w:t xml:space="preserve">■ </w:t>
      </w:r>
      <w:r w:rsidR="005908B8" w:rsidRPr="005908B8">
        <w:rPr>
          <w:rFonts w:ascii="Arial" w:hAnsi="Arial" w:cs="Arial"/>
          <w:highlight w:val="yellow"/>
        </w:rPr>
        <w:t>[</w:t>
      </w:r>
      <w:r w:rsidRPr="005908B8">
        <w:rPr>
          <w:rFonts w:ascii="Arial" w:hAnsi="Arial" w:cs="Arial"/>
          <w:highlight w:val="yellow"/>
        </w:rPr>
        <w:t>Name</w:t>
      </w:r>
      <w:r w:rsidR="00BB46BD">
        <w:rPr>
          <w:rFonts w:ascii="Arial" w:hAnsi="Arial" w:cs="Arial"/>
          <w:highlight w:val="yellow"/>
        </w:rPr>
        <w:t xml:space="preserve"> Grundeigentümerschaft</w:t>
      </w:r>
      <w:r w:rsidR="005908B8" w:rsidRPr="005908B8">
        <w:rPr>
          <w:rFonts w:ascii="Arial" w:hAnsi="Arial" w:cs="Arial"/>
          <w:highlight w:val="yellow"/>
        </w:rPr>
        <w:t>]</w:t>
      </w:r>
      <w:r>
        <w:rPr>
          <w:rFonts w:ascii="Arial" w:hAnsi="Arial" w:cs="Arial"/>
        </w:rPr>
        <w:t xml:space="preserve"> zur Bezahlung auferlegt.</w:t>
      </w:r>
    </w:p>
    <w:p w:rsidR="00DD1DC5" w:rsidRDefault="00DD1DC5" w:rsidP="00E564DA">
      <w:pPr>
        <w:ind w:left="708"/>
        <w:rPr>
          <w:rFonts w:ascii="Arial" w:hAnsi="Arial" w:cs="Arial"/>
        </w:rPr>
      </w:pPr>
      <w:r w:rsidRPr="00DD1DC5">
        <w:rPr>
          <w:rFonts w:ascii="Arial" w:hAnsi="Arial" w:cs="Arial"/>
        </w:rPr>
        <w:t xml:space="preserve">Der verfügte Abgabebetrag unterliegt dem Teuerungsausgleich nach Massgabe des </w:t>
      </w:r>
      <w:r w:rsidR="00BB46BD">
        <w:rPr>
          <w:rFonts w:ascii="Arial" w:hAnsi="Arial" w:cs="Arial"/>
        </w:rPr>
        <w:t xml:space="preserve">Landesindexes der Konsumentenpreise (Basis </w:t>
      </w:r>
      <w:r w:rsidR="006C24C5">
        <w:rPr>
          <w:rFonts w:ascii="Arial" w:hAnsi="Arial" w:cs="Arial"/>
        </w:rPr>
        <w:t>■)</w:t>
      </w:r>
    </w:p>
    <w:p w:rsidR="005908B8" w:rsidRPr="0093687A" w:rsidRDefault="005908B8" w:rsidP="005908B8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 w:rsidRPr="005908B8">
        <w:rPr>
          <w:rFonts w:ascii="Arial" w:hAnsi="Arial" w:cs="Arial"/>
        </w:rPr>
        <w:t xml:space="preserve">Die </w:t>
      </w:r>
      <w:r w:rsidR="00BB46BD">
        <w:rPr>
          <w:rFonts w:ascii="Arial" w:hAnsi="Arial" w:cs="Arial"/>
        </w:rPr>
        <w:t>Mehrwerta</w:t>
      </w:r>
      <w:r w:rsidRPr="005908B8">
        <w:rPr>
          <w:rFonts w:ascii="Arial" w:hAnsi="Arial" w:cs="Arial"/>
        </w:rPr>
        <w:t xml:space="preserve">bgabe nach </w:t>
      </w:r>
      <w:r w:rsidRPr="0093687A">
        <w:rPr>
          <w:rFonts w:ascii="Arial" w:hAnsi="Arial" w:cs="Arial"/>
        </w:rPr>
        <w:t>Ziff. 1 wird zur Bezahlung fällig,</w:t>
      </w:r>
      <w:r w:rsidR="0093687A" w:rsidRPr="0093687A">
        <w:rPr>
          <w:rFonts w:ascii="Arial" w:hAnsi="Arial" w:cs="Arial"/>
        </w:rPr>
        <w:t xml:space="preserve"> wenn der planungsbedingte Mehrwert durch Überbauung (Art. 2 Abs. 2 des Dekrets über das Baubewilligungs</w:t>
      </w:r>
      <w:r w:rsidR="0093687A" w:rsidRPr="0093687A">
        <w:rPr>
          <w:rFonts w:ascii="Arial" w:hAnsi="Arial" w:cs="Arial"/>
        </w:rPr>
        <w:softHyphen/>
        <w:t>verfahren vom 22. März 1994 [Baubewilligungsdekret, BewD; BSG 725.1])</w:t>
      </w:r>
      <w:r w:rsidRPr="0093687A">
        <w:rPr>
          <w:rFonts w:ascii="Arial" w:hAnsi="Arial" w:cs="Arial"/>
        </w:rPr>
        <w:t xml:space="preserve"> </w:t>
      </w:r>
      <w:r w:rsidR="0093687A" w:rsidRPr="0093687A">
        <w:rPr>
          <w:rFonts w:ascii="Arial" w:hAnsi="Arial" w:cs="Arial"/>
        </w:rPr>
        <w:t xml:space="preserve">oder durch Veräusserung </w:t>
      </w:r>
      <w:r w:rsidR="00BB46BD">
        <w:rPr>
          <w:rFonts w:ascii="Arial" w:hAnsi="Arial" w:cs="Arial"/>
        </w:rPr>
        <w:t xml:space="preserve">(analog </w:t>
      </w:r>
      <w:r w:rsidR="0093687A" w:rsidRPr="0093687A">
        <w:rPr>
          <w:rFonts w:ascii="Arial" w:hAnsi="Arial" w:cs="Arial"/>
        </w:rPr>
        <w:t xml:space="preserve">Art. 130 </w:t>
      </w:r>
      <w:r w:rsidR="0093687A">
        <w:rPr>
          <w:rFonts w:ascii="Arial" w:hAnsi="Arial" w:cs="Arial"/>
        </w:rPr>
        <w:t xml:space="preserve">des </w:t>
      </w:r>
      <w:r w:rsidR="0093687A" w:rsidRPr="0093687A">
        <w:rPr>
          <w:rFonts w:ascii="Arial" w:hAnsi="Arial" w:cs="Arial"/>
        </w:rPr>
        <w:t xml:space="preserve">Steuergesetzes vom 21. Mai 2000 </w:t>
      </w:r>
      <w:r w:rsidR="00BB46BD">
        <w:rPr>
          <w:rFonts w:ascii="Arial" w:hAnsi="Arial" w:cs="Arial"/>
        </w:rPr>
        <w:t>[</w:t>
      </w:r>
      <w:r w:rsidR="0093687A" w:rsidRPr="0093687A">
        <w:rPr>
          <w:rFonts w:ascii="Arial" w:hAnsi="Arial" w:cs="Arial"/>
        </w:rPr>
        <w:t>StG; BSG 661.11</w:t>
      </w:r>
      <w:r w:rsidR="00BB46BD">
        <w:rPr>
          <w:rFonts w:ascii="Arial" w:hAnsi="Arial" w:cs="Arial"/>
        </w:rPr>
        <w:t>]</w:t>
      </w:r>
      <w:r w:rsidR="0093687A" w:rsidRPr="0093687A">
        <w:rPr>
          <w:rFonts w:ascii="Arial" w:hAnsi="Arial" w:cs="Arial"/>
        </w:rPr>
        <w:t xml:space="preserve">) </w:t>
      </w:r>
      <w:r w:rsidR="003017C7">
        <w:rPr>
          <w:rFonts w:ascii="Arial" w:hAnsi="Arial" w:cs="Arial"/>
        </w:rPr>
        <w:t>real</w:t>
      </w:r>
      <w:r w:rsidR="00F2751C">
        <w:rPr>
          <w:rFonts w:ascii="Arial" w:hAnsi="Arial" w:cs="Arial"/>
        </w:rPr>
        <w:t>i</w:t>
      </w:r>
      <w:r w:rsidR="003017C7">
        <w:rPr>
          <w:rFonts w:ascii="Arial" w:hAnsi="Arial" w:cs="Arial"/>
        </w:rPr>
        <w:t>siert wird</w:t>
      </w:r>
      <w:r w:rsidR="0093687A">
        <w:rPr>
          <w:rFonts w:ascii="Arial" w:hAnsi="Arial" w:cs="Arial"/>
        </w:rPr>
        <w:t>.</w:t>
      </w:r>
      <w:r w:rsidR="0093687A" w:rsidRPr="0093687A">
        <w:rPr>
          <w:rFonts w:ascii="Arial" w:hAnsi="Arial" w:cs="Arial"/>
        </w:rPr>
        <w:t xml:space="preserve"> </w:t>
      </w:r>
      <w:r w:rsidRPr="0093687A">
        <w:rPr>
          <w:rFonts w:ascii="Arial" w:hAnsi="Arial" w:cs="Arial"/>
        </w:rPr>
        <w:t>Bei teilweiser Überbauung oder Veräusserung des Landes wird die Abgabe anteilsmässig fällig.</w:t>
      </w:r>
    </w:p>
    <w:p w:rsidR="00E564DA" w:rsidRDefault="005908B8" w:rsidP="005908B8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Nach Eintritt der Fälligkeit ist die Abgabe innert 30 Tagen zu leisten. Im Verzugsfall ist ein Verzugszins von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> % geschuldet.</w:t>
      </w:r>
    </w:p>
    <w:p w:rsidR="005908B8" w:rsidRDefault="00C63C93" w:rsidP="005908B8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5908B8">
        <w:rPr>
          <w:rFonts w:ascii="Arial" w:hAnsi="Arial" w:cs="Arial"/>
        </w:rPr>
        <w:t xml:space="preserve">u Gunsten der Einwohnergemeinde </w:t>
      </w:r>
      <w:r w:rsidR="006C24C5">
        <w:rPr>
          <w:rFonts w:ascii="Arial" w:hAnsi="Arial" w:cs="Arial"/>
          <w:highlight w:val="yellow"/>
        </w:rPr>
        <w:t>■</w:t>
      </w:r>
      <w:r w:rsidR="005908B8">
        <w:rPr>
          <w:rFonts w:ascii="Arial" w:hAnsi="Arial" w:cs="Arial"/>
        </w:rPr>
        <w:t xml:space="preserve"> und zu Lasten des Grundstücks </w:t>
      </w:r>
      <w:r w:rsidR="006C24C5">
        <w:rPr>
          <w:rFonts w:ascii="Arial" w:hAnsi="Arial" w:cs="Arial"/>
          <w:highlight w:val="yellow"/>
        </w:rPr>
        <w:t>■</w:t>
      </w:r>
      <w:r w:rsidR="005908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besteht für die Forderung gemäss Ziff. 1 hiervor und die Verzugszinsen nach Ziff. 3 hiervor ein </w:t>
      </w:r>
      <w:r w:rsidR="003017C7">
        <w:rPr>
          <w:rFonts w:ascii="Arial" w:hAnsi="Arial" w:cs="Arial"/>
        </w:rPr>
        <w:t xml:space="preserve">unmittelbares </w:t>
      </w:r>
      <w:r>
        <w:rPr>
          <w:rFonts w:ascii="Arial" w:hAnsi="Arial" w:cs="Arial"/>
        </w:rPr>
        <w:t xml:space="preserve">gesetzliches Grundpfandrecht nach </w:t>
      </w:r>
      <w:r w:rsidR="000D7934">
        <w:rPr>
          <w:rFonts w:ascii="Arial" w:hAnsi="Arial" w:cs="Arial"/>
        </w:rPr>
        <w:t xml:space="preserve">Art. 142e BauG i.V.m. </w:t>
      </w:r>
      <w:r>
        <w:rPr>
          <w:rFonts w:ascii="Arial" w:hAnsi="Arial" w:cs="Arial"/>
        </w:rPr>
        <w:t xml:space="preserve">Art. 109a </w:t>
      </w:r>
      <w:r w:rsidR="000D7934">
        <w:rPr>
          <w:rFonts w:ascii="Arial" w:hAnsi="Arial" w:cs="Arial"/>
        </w:rPr>
        <w:t xml:space="preserve">Abs. 1 </w:t>
      </w:r>
      <w:r>
        <w:rPr>
          <w:rFonts w:ascii="Arial" w:hAnsi="Arial" w:cs="Arial"/>
        </w:rPr>
        <w:t>Bst. </w:t>
      </w:r>
      <w:r w:rsidR="000D7934">
        <w:rPr>
          <w:rFonts w:ascii="Arial" w:hAnsi="Arial" w:cs="Arial"/>
        </w:rPr>
        <w:t xml:space="preserve">d1 </w:t>
      </w:r>
      <w:r>
        <w:rPr>
          <w:rFonts w:ascii="Arial" w:hAnsi="Arial" w:cs="Arial"/>
        </w:rPr>
        <w:t>EG ZGB</w:t>
      </w:r>
      <w:r w:rsidR="003017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</w:t>
      </w:r>
      <w:r w:rsidR="003017C7">
        <w:rPr>
          <w:rFonts w:ascii="Arial" w:hAnsi="Arial" w:cs="Arial"/>
        </w:rPr>
        <w:t xml:space="preserve"> </w:t>
      </w:r>
    </w:p>
    <w:p w:rsidR="0093687A" w:rsidRDefault="0093687A" w:rsidP="005908B8">
      <w:pPr>
        <w:pStyle w:val="Listenabsatz"/>
        <w:numPr>
          <w:ilvl w:val="0"/>
          <w:numId w:val="4"/>
        </w:numPr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Es werden keine Verfahrenskosten erhoben.</w:t>
      </w:r>
    </w:p>
    <w:p w:rsidR="00011D3E" w:rsidRDefault="0093687A" w:rsidP="009E0DBD">
      <w:pPr>
        <w:pStyle w:val="Listenabsatz"/>
        <w:shd w:val="clear" w:color="auto" w:fill="EAF1DD" w:themeFill="accent3" w:themeFillTint="33"/>
        <w:contextualSpacing w:val="0"/>
        <w:rPr>
          <w:rFonts w:ascii="Arial" w:hAnsi="Arial" w:cs="Arial"/>
        </w:rPr>
      </w:pPr>
      <w:r w:rsidRPr="0093687A">
        <w:rPr>
          <w:rFonts w:ascii="Arial" w:hAnsi="Arial" w:cs="Arial"/>
          <w:i/>
        </w:rPr>
        <w:t>Variante:</w:t>
      </w:r>
      <w:r w:rsidRPr="0093687A">
        <w:rPr>
          <w:rFonts w:ascii="Arial" w:hAnsi="Arial" w:cs="Arial"/>
          <w:i/>
        </w:rPr>
        <w:br/>
      </w:r>
      <w:r w:rsidR="00011D3E">
        <w:rPr>
          <w:rFonts w:ascii="Arial" w:hAnsi="Arial" w:cs="Arial"/>
        </w:rPr>
        <w:t xml:space="preserve">Die Verfahrenskosten für die vorliegende Verfügung werden festgelegt auf </w:t>
      </w:r>
      <w:r w:rsidR="00E803FE">
        <w:rPr>
          <w:rFonts w:ascii="Arial" w:hAnsi="Arial" w:cs="Arial"/>
        </w:rPr>
        <w:t xml:space="preserve">CHF </w:t>
      </w:r>
      <w:r w:rsidR="006C24C5">
        <w:rPr>
          <w:rFonts w:ascii="Arial" w:hAnsi="Arial" w:cs="Arial"/>
          <w:highlight w:val="yellow"/>
        </w:rPr>
        <w:t>■</w:t>
      </w:r>
      <w:r w:rsidR="00011D3E">
        <w:rPr>
          <w:rFonts w:ascii="Arial" w:hAnsi="Arial" w:cs="Arial"/>
        </w:rPr>
        <w:t xml:space="preserve"> und der Grundeigentümerin zur Bezahlung auferlegt.</w:t>
      </w:r>
    </w:p>
    <w:p w:rsidR="00C63C93" w:rsidRDefault="00C63C93" w:rsidP="00011D3E">
      <w:pPr>
        <w:pStyle w:val="Listenabsatz"/>
        <w:numPr>
          <w:ilvl w:val="0"/>
          <w:numId w:val="4"/>
        </w:numPr>
        <w:spacing w:after="0"/>
        <w:ind w:hanging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Zu eröffnen:</w:t>
      </w:r>
    </w:p>
    <w:p w:rsidR="00C63C93" w:rsidRDefault="00011D3E" w:rsidP="006A41A6">
      <w:pPr>
        <w:pStyle w:val="Listenabsatz"/>
        <w:numPr>
          <w:ilvl w:val="1"/>
          <w:numId w:val="5"/>
        </w:numPr>
        <w:spacing w:after="0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63C93">
        <w:rPr>
          <w:rFonts w:ascii="Arial" w:hAnsi="Arial" w:cs="Arial"/>
        </w:rPr>
        <w:t>er Grundeigentümerin</w:t>
      </w:r>
      <w:r w:rsidR="003017C7">
        <w:rPr>
          <w:rFonts w:ascii="Arial" w:hAnsi="Arial" w:cs="Arial"/>
        </w:rPr>
        <w:t xml:space="preserve">/dem Grundeigentümer </w:t>
      </w:r>
      <w:r w:rsidR="006C24C5">
        <w:rPr>
          <w:rFonts w:ascii="Arial" w:hAnsi="Arial" w:cs="Arial"/>
        </w:rPr>
        <w:t xml:space="preserve">■ </w:t>
      </w:r>
      <w:r>
        <w:rPr>
          <w:rFonts w:ascii="Arial" w:hAnsi="Arial" w:cs="Arial"/>
        </w:rPr>
        <w:t>(per Einschreiben),</w:t>
      </w:r>
    </w:p>
    <w:p w:rsidR="00C63C93" w:rsidRDefault="00F2751C" w:rsidP="006A41A6">
      <w:pPr>
        <w:pStyle w:val="Listenabsatz"/>
        <w:numPr>
          <w:ilvl w:val="1"/>
          <w:numId w:val="5"/>
        </w:numPr>
        <w:spacing w:after="0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dem </w:t>
      </w:r>
      <w:r w:rsidR="003A305B">
        <w:rPr>
          <w:rFonts w:ascii="Arial" w:hAnsi="Arial" w:cs="Arial"/>
        </w:rPr>
        <w:t>Amt für Gemeinden und Raumordnung</w:t>
      </w:r>
      <w:r>
        <w:rPr>
          <w:rFonts w:ascii="Arial" w:hAnsi="Arial" w:cs="Arial"/>
        </w:rPr>
        <w:t xml:space="preserve"> (per Einschreiben), </w:t>
      </w:r>
    </w:p>
    <w:p w:rsidR="00011D3E" w:rsidRDefault="00011D3E" w:rsidP="006A41A6">
      <w:pPr>
        <w:pStyle w:val="Listenabsatz"/>
        <w:numPr>
          <w:ilvl w:val="1"/>
          <w:numId w:val="5"/>
        </w:numPr>
        <w:spacing w:after="0"/>
        <w:ind w:left="107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dem Grundbuchamt </w:t>
      </w:r>
      <w:r w:rsidR="006C24C5">
        <w:rPr>
          <w:rFonts w:ascii="Arial" w:hAnsi="Arial" w:cs="Arial"/>
          <w:highlight w:val="yellow"/>
        </w:rPr>
        <w:t>■</w:t>
      </w:r>
      <w:r>
        <w:rPr>
          <w:rFonts w:ascii="Arial" w:hAnsi="Arial" w:cs="Arial"/>
        </w:rPr>
        <w:t>.</w:t>
      </w:r>
    </w:p>
    <w:p w:rsidR="00E803FE" w:rsidRDefault="00E803FE" w:rsidP="00011D3E">
      <w:pPr>
        <w:tabs>
          <w:tab w:val="left" w:pos="709"/>
        </w:tabs>
        <w:rPr>
          <w:rFonts w:ascii="Arial" w:hAnsi="Arial" w:cs="Arial"/>
        </w:rPr>
      </w:pPr>
    </w:p>
    <w:p w:rsidR="00011D3E" w:rsidRPr="00011D3E" w:rsidRDefault="00011D3E" w:rsidP="00011D3E">
      <w:pPr>
        <w:tabs>
          <w:tab w:val="left" w:pos="709"/>
        </w:tabs>
        <w:rPr>
          <w:rFonts w:ascii="Arial" w:eastAsia="Calibri" w:hAnsi="Arial" w:cs="Arial"/>
          <w:b/>
          <w:i/>
        </w:rPr>
      </w:pPr>
      <w:r w:rsidRPr="00011D3E">
        <w:rPr>
          <w:rFonts w:ascii="Arial" w:eastAsia="Calibri" w:hAnsi="Arial" w:cs="Arial"/>
          <w:b/>
          <w:i/>
        </w:rPr>
        <w:t>RECHTSMITTELBELEHRUNG</w:t>
      </w:r>
    </w:p>
    <w:p w:rsidR="00011D3E" w:rsidRPr="00011D3E" w:rsidRDefault="00011D3E" w:rsidP="00DD1DC5">
      <w:pPr>
        <w:tabs>
          <w:tab w:val="left" w:pos="709"/>
        </w:tabs>
        <w:rPr>
          <w:rFonts w:ascii="Arial" w:hAnsi="Arial" w:cs="Arial"/>
        </w:rPr>
      </w:pPr>
      <w:r w:rsidRPr="00011D3E">
        <w:rPr>
          <w:rFonts w:ascii="Arial" w:eastAsia="Calibri" w:hAnsi="Arial" w:cs="Arial"/>
          <w:i/>
        </w:rPr>
        <w:t>Diese Verfügung kann innert 30 Tagen seit Eröffnung mit Beschwerde bei</w:t>
      </w:r>
      <w:r>
        <w:rPr>
          <w:rFonts w:ascii="Arial" w:eastAsia="Calibri" w:hAnsi="Arial" w:cs="Arial"/>
          <w:i/>
        </w:rPr>
        <w:t>m Regierungsstatt</w:t>
      </w:r>
      <w:r>
        <w:rPr>
          <w:rFonts w:ascii="Arial" w:eastAsia="Calibri" w:hAnsi="Arial" w:cs="Arial"/>
          <w:i/>
        </w:rPr>
        <w:softHyphen/>
        <w:t xml:space="preserve">halteramt </w:t>
      </w:r>
      <w:r w:rsidR="006C24C5">
        <w:rPr>
          <w:rFonts w:ascii="Arial" w:eastAsia="Calibri" w:hAnsi="Arial" w:cs="Arial"/>
          <w:i/>
          <w:highlight w:val="yellow"/>
        </w:rPr>
        <w:t>■</w:t>
      </w:r>
      <w:r>
        <w:rPr>
          <w:rFonts w:ascii="Arial" w:eastAsia="Calibri" w:hAnsi="Arial" w:cs="Arial"/>
          <w:i/>
        </w:rPr>
        <w:t xml:space="preserve"> </w:t>
      </w:r>
      <w:r w:rsidRPr="00011D3E">
        <w:rPr>
          <w:rFonts w:ascii="Arial" w:eastAsia="Calibri" w:hAnsi="Arial" w:cs="Arial"/>
          <w:i/>
        </w:rPr>
        <w:t xml:space="preserve">angefochten werden. Eine allfällige Beschwerde ist schriftlich </w:t>
      </w:r>
      <w:r>
        <w:rPr>
          <w:rFonts w:ascii="Arial" w:eastAsia="Calibri" w:hAnsi="Arial" w:cs="Arial"/>
          <w:i/>
        </w:rPr>
        <w:t>im Doppel</w:t>
      </w:r>
      <w:r w:rsidRPr="00011D3E">
        <w:rPr>
          <w:rFonts w:ascii="Arial" w:eastAsia="Calibri" w:hAnsi="Arial" w:cs="Arial"/>
          <w:i/>
        </w:rPr>
        <w:t xml:space="preserve"> einzureichen und hat einen Antrag, die Angabe von Tatsachen und Beweismitteln, eine Begründung sowie eine rechtsgültige Unterschrift zu enthalten. Die angefochtene Verfügung und greifbare Beweismittel sind beizulegen.</w:t>
      </w:r>
    </w:p>
    <w:sectPr w:rsidR="00011D3E" w:rsidRPr="00011D3E" w:rsidSect="0090758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93E" w:rsidRDefault="006B293E" w:rsidP="00E803FE">
      <w:pPr>
        <w:spacing w:after="0" w:line="240" w:lineRule="auto"/>
      </w:pPr>
      <w:r>
        <w:separator/>
      </w:r>
    </w:p>
  </w:endnote>
  <w:endnote w:type="continuationSeparator" w:id="0">
    <w:p w:rsidR="006B293E" w:rsidRDefault="006B293E" w:rsidP="00E80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946983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907582" w:rsidRPr="00907582" w:rsidRDefault="00907582" w:rsidP="00907582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907582">
          <w:rPr>
            <w:rFonts w:ascii="Arial" w:hAnsi="Arial" w:cs="Arial"/>
            <w:sz w:val="20"/>
            <w:szCs w:val="20"/>
          </w:rPr>
          <w:fldChar w:fldCharType="begin"/>
        </w:r>
        <w:r w:rsidRPr="00907582">
          <w:rPr>
            <w:rFonts w:ascii="Arial" w:hAnsi="Arial" w:cs="Arial"/>
            <w:sz w:val="20"/>
            <w:szCs w:val="20"/>
          </w:rPr>
          <w:instrText>PAGE   \* MERGEFORMAT</w:instrText>
        </w:r>
        <w:r w:rsidRPr="00907582">
          <w:rPr>
            <w:rFonts w:ascii="Arial" w:hAnsi="Arial" w:cs="Arial"/>
            <w:sz w:val="20"/>
            <w:szCs w:val="20"/>
          </w:rPr>
          <w:fldChar w:fldCharType="separate"/>
        </w:r>
        <w:r w:rsidR="00F52A7D" w:rsidRPr="00F52A7D">
          <w:rPr>
            <w:rFonts w:ascii="Arial" w:hAnsi="Arial" w:cs="Arial"/>
            <w:noProof/>
            <w:sz w:val="20"/>
            <w:szCs w:val="20"/>
            <w:lang w:val="de-DE"/>
          </w:rPr>
          <w:t>3</w:t>
        </w:r>
        <w:r w:rsidRPr="0090758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907582" w:rsidRDefault="0090758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93E" w:rsidRDefault="006B293E" w:rsidP="00E803FE">
      <w:pPr>
        <w:spacing w:after="0" w:line="240" w:lineRule="auto"/>
      </w:pPr>
      <w:r>
        <w:separator/>
      </w:r>
    </w:p>
  </w:footnote>
  <w:footnote w:type="continuationSeparator" w:id="0">
    <w:p w:rsidR="006B293E" w:rsidRDefault="006B293E" w:rsidP="00E80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3" w:rsidRDefault="00C460E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0E3" w:rsidRDefault="00C460E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6ED" w:rsidRDefault="00C460E3" w:rsidP="00C460E3">
    <w:pPr>
      <w:pStyle w:val="Kopfzeile"/>
      <w:jc w:val="right"/>
      <w:rPr>
        <w:rFonts w:ascii="Arial" w:hAnsi="Arial" w:cs="Arial"/>
        <w:sz w:val="18"/>
        <w:szCs w:val="18"/>
      </w:rPr>
    </w:pPr>
    <w:r w:rsidRPr="00C460E3">
      <w:rPr>
        <w:rFonts w:ascii="Arial" w:hAnsi="Arial" w:cs="Arial"/>
        <w:sz w:val="18"/>
        <w:szCs w:val="18"/>
      </w:rPr>
      <w:t xml:space="preserve">Muster-Verfügung Mehrwertabgabe (infolge Einzonung) </w:t>
    </w:r>
  </w:p>
  <w:p w:rsidR="00C460E3" w:rsidRPr="00CD46ED" w:rsidRDefault="00CD46ED" w:rsidP="00C460E3">
    <w:pPr>
      <w:pStyle w:val="Kopfzeile"/>
      <w:jc w:val="right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[Stand </w:t>
    </w:r>
    <w:r w:rsidRPr="00CD46ED">
      <w:rPr>
        <w:rFonts w:ascii="Arial" w:hAnsi="Arial" w:cs="Arial"/>
        <w:i/>
        <w:sz w:val="18"/>
        <w:szCs w:val="18"/>
      </w:rPr>
      <w:t>1.</w:t>
    </w:r>
    <w:r>
      <w:rPr>
        <w:rFonts w:ascii="Arial" w:hAnsi="Arial" w:cs="Arial"/>
        <w:i/>
        <w:sz w:val="18"/>
        <w:szCs w:val="18"/>
      </w:rPr>
      <w:t>3.</w:t>
    </w:r>
    <w:r w:rsidR="00C460E3" w:rsidRPr="00CD46ED">
      <w:rPr>
        <w:rFonts w:ascii="Arial" w:hAnsi="Arial" w:cs="Arial"/>
        <w:i/>
        <w:sz w:val="18"/>
        <w:szCs w:val="18"/>
      </w:rPr>
      <w:t>2020</w:t>
    </w:r>
    <w:r>
      <w:rPr>
        <w:rFonts w:ascii="Arial" w:hAnsi="Arial" w:cs="Arial"/>
        <w:i/>
        <w:sz w:val="18"/>
        <w:szCs w:val="18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D6337"/>
    <w:multiLevelType w:val="hybridMultilevel"/>
    <w:tmpl w:val="59E03D0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E445B"/>
    <w:multiLevelType w:val="hybridMultilevel"/>
    <w:tmpl w:val="138A01A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7445F"/>
    <w:multiLevelType w:val="hybridMultilevel"/>
    <w:tmpl w:val="6E10CAD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7">
      <w:start w:val="1"/>
      <w:numFmt w:val="lowerLetter"/>
      <w:lvlText w:val="%2)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55DE6"/>
    <w:multiLevelType w:val="hybridMultilevel"/>
    <w:tmpl w:val="3946805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E70C5"/>
    <w:multiLevelType w:val="hybridMultilevel"/>
    <w:tmpl w:val="E63E58A2"/>
    <w:lvl w:ilvl="0" w:tplc="90B603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EF"/>
    <w:rsid w:val="0000173D"/>
    <w:rsid w:val="00002054"/>
    <w:rsid w:val="00003ABD"/>
    <w:rsid w:val="00011D3E"/>
    <w:rsid w:val="00013544"/>
    <w:rsid w:val="0001370B"/>
    <w:rsid w:val="00013B44"/>
    <w:rsid w:val="000264CE"/>
    <w:rsid w:val="00042CC2"/>
    <w:rsid w:val="000559CF"/>
    <w:rsid w:val="00057F58"/>
    <w:rsid w:val="00063846"/>
    <w:rsid w:val="00066416"/>
    <w:rsid w:val="000664E2"/>
    <w:rsid w:val="00082FC2"/>
    <w:rsid w:val="000A097E"/>
    <w:rsid w:val="000B39D8"/>
    <w:rsid w:val="000C0CDD"/>
    <w:rsid w:val="000D1F03"/>
    <w:rsid w:val="000D594F"/>
    <w:rsid w:val="000D7934"/>
    <w:rsid w:val="000E2B1F"/>
    <w:rsid w:val="000F6015"/>
    <w:rsid w:val="000F614D"/>
    <w:rsid w:val="00101713"/>
    <w:rsid w:val="001152F9"/>
    <w:rsid w:val="00146266"/>
    <w:rsid w:val="00150CF0"/>
    <w:rsid w:val="00166E4C"/>
    <w:rsid w:val="00190C00"/>
    <w:rsid w:val="001A2BDE"/>
    <w:rsid w:val="001C7F84"/>
    <w:rsid w:val="001D380A"/>
    <w:rsid w:val="001F25DF"/>
    <w:rsid w:val="001F35CE"/>
    <w:rsid w:val="001F61F2"/>
    <w:rsid w:val="001F7121"/>
    <w:rsid w:val="002056BC"/>
    <w:rsid w:val="0021034D"/>
    <w:rsid w:val="00216323"/>
    <w:rsid w:val="00220F69"/>
    <w:rsid w:val="00227CF7"/>
    <w:rsid w:val="00237D3F"/>
    <w:rsid w:val="00285526"/>
    <w:rsid w:val="002916FD"/>
    <w:rsid w:val="00292714"/>
    <w:rsid w:val="002A02CB"/>
    <w:rsid w:val="002A5A5D"/>
    <w:rsid w:val="002B5341"/>
    <w:rsid w:val="002C2A9D"/>
    <w:rsid w:val="002D5293"/>
    <w:rsid w:val="00300BA0"/>
    <w:rsid w:val="003017C7"/>
    <w:rsid w:val="00321EF4"/>
    <w:rsid w:val="00337B0E"/>
    <w:rsid w:val="00352F0B"/>
    <w:rsid w:val="00354A41"/>
    <w:rsid w:val="00360DDB"/>
    <w:rsid w:val="003874C2"/>
    <w:rsid w:val="00391F4A"/>
    <w:rsid w:val="003961D6"/>
    <w:rsid w:val="00397DF4"/>
    <w:rsid w:val="003A305B"/>
    <w:rsid w:val="003A4440"/>
    <w:rsid w:val="003A70A7"/>
    <w:rsid w:val="003B6E9A"/>
    <w:rsid w:val="003C6DF6"/>
    <w:rsid w:val="003D032D"/>
    <w:rsid w:val="003D169D"/>
    <w:rsid w:val="003E6B97"/>
    <w:rsid w:val="003E6CF4"/>
    <w:rsid w:val="004029DC"/>
    <w:rsid w:val="00407672"/>
    <w:rsid w:val="00423BBB"/>
    <w:rsid w:val="00424218"/>
    <w:rsid w:val="00436E91"/>
    <w:rsid w:val="004430DE"/>
    <w:rsid w:val="0045654F"/>
    <w:rsid w:val="00470A4C"/>
    <w:rsid w:val="00477437"/>
    <w:rsid w:val="00485615"/>
    <w:rsid w:val="00490448"/>
    <w:rsid w:val="00496CF5"/>
    <w:rsid w:val="004A3B5F"/>
    <w:rsid w:val="004B7090"/>
    <w:rsid w:val="004C2E40"/>
    <w:rsid w:val="004C4095"/>
    <w:rsid w:val="004E12A7"/>
    <w:rsid w:val="004E48B7"/>
    <w:rsid w:val="00501030"/>
    <w:rsid w:val="00511000"/>
    <w:rsid w:val="00524FF1"/>
    <w:rsid w:val="00526B01"/>
    <w:rsid w:val="00532746"/>
    <w:rsid w:val="00545361"/>
    <w:rsid w:val="00556B2D"/>
    <w:rsid w:val="005654CA"/>
    <w:rsid w:val="00572A7D"/>
    <w:rsid w:val="0058797E"/>
    <w:rsid w:val="005908B8"/>
    <w:rsid w:val="005A3361"/>
    <w:rsid w:val="005B6DF0"/>
    <w:rsid w:val="005C4C62"/>
    <w:rsid w:val="005D1605"/>
    <w:rsid w:val="005D3F96"/>
    <w:rsid w:val="005E3BA8"/>
    <w:rsid w:val="005E5562"/>
    <w:rsid w:val="005F41A4"/>
    <w:rsid w:val="005F4F97"/>
    <w:rsid w:val="005F5237"/>
    <w:rsid w:val="00606B91"/>
    <w:rsid w:val="00625ED4"/>
    <w:rsid w:val="0063653E"/>
    <w:rsid w:val="00645D25"/>
    <w:rsid w:val="0064667D"/>
    <w:rsid w:val="00660245"/>
    <w:rsid w:val="00686092"/>
    <w:rsid w:val="00693EAA"/>
    <w:rsid w:val="006A41A6"/>
    <w:rsid w:val="006B1C9C"/>
    <w:rsid w:val="006B293E"/>
    <w:rsid w:val="006C204A"/>
    <w:rsid w:val="006C24C5"/>
    <w:rsid w:val="006D58EF"/>
    <w:rsid w:val="006E397E"/>
    <w:rsid w:val="006E4D7F"/>
    <w:rsid w:val="006E751E"/>
    <w:rsid w:val="006F2155"/>
    <w:rsid w:val="006F37BB"/>
    <w:rsid w:val="006F3930"/>
    <w:rsid w:val="007075FD"/>
    <w:rsid w:val="00712B09"/>
    <w:rsid w:val="00713A23"/>
    <w:rsid w:val="00715955"/>
    <w:rsid w:val="00716C8B"/>
    <w:rsid w:val="00722568"/>
    <w:rsid w:val="00732421"/>
    <w:rsid w:val="0075654F"/>
    <w:rsid w:val="007631D7"/>
    <w:rsid w:val="00765DE3"/>
    <w:rsid w:val="00767802"/>
    <w:rsid w:val="00774F46"/>
    <w:rsid w:val="00790AD5"/>
    <w:rsid w:val="007A0CD7"/>
    <w:rsid w:val="007B00FA"/>
    <w:rsid w:val="007B7801"/>
    <w:rsid w:val="007D52AB"/>
    <w:rsid w:val="007F4017"/>
    <w:rsid w:val="00802D8B"/>
    <w:rsid w:val="00805270"/>
    <w:rsid w:val="00810AC4"/>
    <w:rsid w:val="00811814"/>
    <w:rsid w:val="00826EE5"/>
    <w:rsid w:val="0083155F"/>
    <w:rsid w:val="00847736"/>
    <w:rsid w:val="008477AA"/>
    <w:rsid w:val="00854BD6"/>
    <w:rsid w:val="00864D0F"/>
    <w:rsid w:val="00873E51"/>
    <w:rsid w:val="008A276F"/>
    <w:rsid w:val="008B4E87"/>
    <w:rsid w:val="008B52DC"/>
    <w:rsid w:val="008D2747"/>
    <w:rsid w:val="008D2A4A"/>
    <w:rsid w:val="008D6C95"/>
    <w:rsid w:val="008E4C41"/>
    <w:rsid w:val="008E7930"/>
    <w:rsid w:val="008F2542"/>
    <w:rsid w:val="00907582"/>
    <w:rsid w:val="009114F6"/>
    <w:rsid w:val="00917057"/>
    <w:rsid w:val="00917645"/>
    <w:rsid w:val="00925D43"/>
    <w:rsid w:val="00930573"/>
    <w:rsid w:val="00931254"/>
    <w:rsid w:val="00931911"/>
    <w:rsid w:val="0093687A"/>
    <w:rsid w:val="009412E9"/>
    <w:rsid w:val="009876B1"/>
    <w:rsid w:val="009A378E"/>
    <w:rsid w:val="009C0EF0"/>
    <w:rsid w:val="009E0DBD"/>
    <w:rsid w:val="009E5BE9"/>
    <w:rsid w:val="009F023F"/>
    <w:rsid w:val="009F25E3"/>
    <w:rsid w:val="009F6BA3"/>
    <w:rsid w:val="009F793C"/>
    <w:rsid w:val="009F7E79"/>
    <w:rsid w:val="00A02167"/>
    <w:rsid w:val="00A03E14"/>
    <w:rsid w:val="00A1017B"/>
    <w:rsid w:val="00A26C21"/>
    <w:rsid w:val="00A3472E"/>
    <w:rsid w:val="00A4270D"/>
    <w:rsid w:val="00A45F46"/>
    <w:rsid w:val="00A4733E"/>
    <w:rsid w:val="00A571D6"/>
    <w:rsid w:val="00A6303B"/>
    <w:rsid w:val="00A825CE"/>
    <w:rsid w:val="00A90701"/>
    <w:rsid w:val="00A91A58"/>
    <w:rsid w:val="00A91CA4"/>
    <w:rsid w:val="00AC5C42"/>
    <w:rsid w:val="00AE0FA7"/>
    <w:rsid w:val="00B0267F"/>
    <w:rsid w:val="00B05422"/>
    <w:rsid w:val="00B32557"/>
    <w:rsid w:val="00B471A2"/>
    <w:rsid w:val="00B53DB6"/>
    <w:rsid w:val="00B6658F"/>
    <w:rsid w:val="00B75040"/>
    <w:rsid w:val="00B83D51"/>
    <w:rsid w:val="00B94A94"/>
    <w:rsid w:val="00BB2FB5"/>
    <w:rsid w:val="00BB46BD"/>
    <w:rsid w:val="00BE6B1C"/>
    <w:rsid w:val="00BE6BD6"/>
    <w:rsid w:val="00BE6D0B"/>
    <w:rsid w:val="00BF402E"/>
    <w:rsid w:val="00C04B4F"/>
    <w:rsid w:val="00C04F63"/>
    <w:rsid w:val="00C0608A"/>
    <w:rsid w:val="00C17339"/>
    <w:rsid w:val="00C2034B"/>
    <w:rsid w:val="00C24251"/>
    <w:rsid w:val="00C27401"/>
    <w:rsid w:val="00C460E3"/>
    <w:rsid w:val="00C63C93"/>
    <w:rsid w:val="00C64469"/>
    <w:rsid w:val="00C816F1"/>
    <w:rsid w:val="00CA29B7"/>
    <w:rsid w:val="00CA780A"/>
    <w:rsid w:val="00CC53FB"/>
    <w:rsid w:val="00CC7425"/>
    <w:rsid w:val="00CD46ED"/>
    <w:rsid w:val="00CD5F94"/>
    <w:rsid w:val="00CE76C6"/>
    <w:rsid w:val="00CF130C"/>
    <w:rsid w:val="00D054C9"/>
    <w:rsid w:val="00D309ED"/>
    <w:rsid w:val="00D512E3"/>
    <w:rsid w:val="00D74597"/>
    <w:rsid w:val="00D84B77"/>
    <w:rsid w:val="00D973F0"/>
    <w:rsid w:val="00DD1DC5"/>
    <w:rsid w:val="00DE13B5"/>
    <w:rsid w:val="00DE7E8F"/>
    <w:rsid w:val="00DF3BF6"/>
    <w:rsid w:val="00E023EE"/>
    <w:rsid w:val="00E218F9"/>
    <w:rsid w:val="00E24A4B"/>
    <w:rsid w:val="00E41A9B"/>
    <w:rsid w:val="00E470DC"/>
    <w:rsid w:val="00E514EA"/>
    <w:rsid w:val="00E51B0A"/>
    <w:rsid w:val="00E564DA"/>
    <w:rsid w:val="00E63CE9"/>
    <w:rsid w:val="00E66FF5"/>
    <w:rsid w:val="00E70742"/>
    <w:rsid w:val="00E803FE"/>
    <w:rsid w:val="00E8676A"/>
    <w:rsid w:val="00E902E7"/>
    <w:rsid w:val="00E96578"/>
    <w:rsid w:val="00EA0449"/>
    <w:rsid w:val="00EA16E1"/>
    <w:rsid w:val="00EA3735"/>
    <w:rsid w:val="00EA5F40"/>
    <w:rsid w:val="00EA79C8"/>
    <w:rsid w:val="00EB0BB5"/>
    <w:rsid w:val="00EB1330"/>
    <w:rsid w:val="00EB13CA"/>
    <w:rsid w:val="00EC2575"/>
    <w:rsid w:val="00EC327C"/>
    <w:rsid w:val="00EE3C9B"/>
    <w:rsid w:val="00F15AFF"/>
    <w:rsid w:val="00F2751C"/>
    <w:rsid w:val="00F52A7D"/>
    <w:rsid w:val="00F57D99"/>
    <w:rsid w:val="00F62D73"/>
    <w:rsid w:val="00F70563"/>
    <w:rsid w:val="00F76740"/>
    <w:rsid w:val="00F8681E"/>
    <w:rsid w:val="00F912C2"/>
    <w:rsid w:val="00F96C31"/>
    <w:rsid w:val="00FA0218"/>
    <w:rsid w:val="00FA4103"/>
    <w:rsid w:val="00FA6C53"/>
    <w:rsid w:val="00FC37E6"/>
    <w:rsid w:val="00FD1E96"/>
    <w:rsid w:val="00FD73AC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5:docId w15:val="{FFA35931-1E92-4F35-BD4D-DE090914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2BD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11D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11D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11D3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1D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1D3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1D3E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03F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03F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03F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90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7582"/>
  </w:style>
  <w:style w:type="paragraph" w:styleId="Fuzeile">
    <w:name w:val="footer"/>
    <w:basedOn w:val="Standard"/>
    <w:link w:val="FuzeileZchn"/>
    <w:uiPriority w:val="99"/>
    <w:unhideWhenUsed/>
    <w:rsid w:val="00907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7582"/>
  </w:style>
  <w:style w:type="paragraph" w:styleId="Endnotentext">
    <w:name w:val="endnote text"/>
    <w:basedOn w:val="Standard"/>
    <w:link w:val="EndnotentextZchn"/>
    <w:uiPriority w:val="99"/>
    <w:semiHidden/>
    <w:unhideWhenUsed/>
    <w:rsid w:val="006C24C5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6C24C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C24C5"/>
    <w:rPr>
      <w:vertAlign w:val="superscript"/>
    </w:rPr>
  </w:style>
  <w:style w:type="paragraph" w:styleId="berarbeitung">
    <w:name w:val="Revision"/>
    <w:hidden/>
    <w:uiPriority w:val="99"/>
    <w:semiHidden/>
    <w:rsid w:val="006C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D2161-9C5D-4BF2-AEF7-160D27D8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6E10A860.dotm</Template>
  <TotalTime>0</TotalTime>
  <Pages>3</Pages>
  <Words>946</Words>
  <Characters>5965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Pflüger</dc:creator>
  <cp:lastModifiedBy>Zürcher Andrea, JGK-AGR-GeM</cp:lastModifiedBy>
  <cp:revision>2</cp:revision>
  <cp:lastPrinted>2016-12-05T08:35:00Z</cp:lastPrinted>
  <dcterms:created xsi:type="dcterms:W3CDTF">2020-03-26T15:11:00Z</dcterms:created>
  <dcterms:modified xsi:type="dcterms:W3CDTF">2020-03-26T15:11:00Z</dcterms:modified>
</cp:coreProperties>
</file>